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0"/>
  <w:body>
    <w:p w:rsidR="00F1333F" w:rsidRDefault="000E012F">
      <w:pPr>
        <w:pageBreakBefore/>
        <w:jc w:val="center"/>
        <w:divId w:val="324477955"/>
        <w:rPr>
          <w:rFonts w:ascii="Arial" w:eastAsia="Times New Roman" w:hAnsi="Arial" w:cs="Arial"/>
          <w:b/>
          <w:bCs/>
          <w:color w:val="000000"/>
          <w:lang w:val="uk-UA"/>
        </w:rPr>
      </w:pPr>
      <w:bookmarkStart w:id="0" w:name="ReportTitul"/>
      <w:bookmarkEnd w:id="0"/>
      <w:r>
        <w:rPr>
          <w:rFonts w:ascii="Arial" w:eastAsia="Times New Roman" w:hAnsi="Arial" w:cs="Arial"/>
          <w:b/>
          <w:bCs/>
          <w:color w:val="000000"/>
          <w:lang w:val="uk-UA"/>
        </w:rPr>
        <w:t>Квартальна інформація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5"/>
        <w:gridCol w:w="5306"/>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bookmarkStart w:id="1" w:name="AmmendReportTitul"/>
            <w:bookmarkEnd w:id="1"/>
            <w:r>
              <w:rPr>
                <w:rFonts w:ascii="Arial" w:eastAsia="Times New Roman" w:hAnsi="Arial" w:cs="Arial"/>
                <w:color w:val="000000"/>
                <w:sz w:val="19"/>
                <w:szCs w:val="19"/>
                <w:lang w:val="uk-UA"/>
              </w:rPr>
              <w:t>Ідентифікаційний код за ЄДРПОУ емітента: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23697280</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Повне найменування емітента: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Публічне акціонерне товариство акціонерний банк "Укргазбанк"</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Скорочене найменування емітента (за наявності):</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АБ "Укргазбанк"</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Організаційно-правова форма емітента за КОПФГ:</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Акціонерне товариство</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Місцезнаходження емітента:</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Поштовий індекс:</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03087</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Область:</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Київська</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Район:</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Солом'янський</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Населений пункт:</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м.Київ</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Вулиця:</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 xml:space="preserve">Єреванська </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Будинок:</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w:t>
            </w: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Корпус:</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tcMar>
              <w:top w:w="15" w:type="dxa"/>
              <w:left w:w="15" w:type="dxa"/>
              <w:bottom w:w="15" w:type="dxa"/>
              <w:right w:w="150" w:type="dxa"/>
            </w:tcMar>
            <w:vAlign w:val="center"/>
            <w:hideMark/>
          </w:tcPr>
          <w:p w:rsidR="00F1333F" w:rsidRDefault="000E012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Офіс / квартира:</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Міжміський код та телефон емітента: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0445941136</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Номер факсу емітента: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0445941136</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Веб-сайт емітента:</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Дата, на яку складено квартальну інформацію (день, місяць, рік):</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30.09.2012</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362632484"/>
        <w:rPr>
          <w:rFonts w:ascii="Arial" w:eastAsia="Times New Roman" w:hAnsi="Arial" w:cs="Arial"/>
          <w:b/>
          <w:bCs/>
          <w:color w:val="000000"/>
          <w:lang w:val="uk-UA"/>
        </w:rPr>
      </w:pPr>
      <w:bookmarkStart w:id="2" w:name="Vstyp"/>
      <w:bookmarkEnd w:id="2"/>
      <w:r>
        <w:rPr>
          <w:rFonts w:ascii="Arial" w:eastAsia="Times New Roman" w:hAnsi="Arial" w:cs="Arial"/>
          <w:b/>
          <w:bCs/>
          <w:color w:val="000000"/>
          <w:lang w:val="uk-UA"/>
        </w:rPr>
        <w:lastRenderedPageBreak/>
        <w:t>Вступ</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Придбання цінних паперів АБ "Укргазбанк" пов’язане з ризиками, описаними у квартальній інформації, а саме у розділі ІІ "Фактори ризику".</w:t>
      </w:r>
    </w:p>
    <w:p w:rsidR="00F1333F" w:rsidRDefault="000E012F">
      <w:pPr>
        <w:pStyle w:val="pagebreak"/>
        <w:rPr>
          <w:color w:val="000000"/>
          <w:lang w:val="uk-UA"/>
        </w:rPr>
      </w:pPr>
      <w:r>
        <w:rPr>
          <w:color w:val="000000"/>
          <w:lang w:val="uk-UA"/>
        </w:rPr>
        <w:t> </w:t>
      </w:r>
    </w:p>
    <w:p w:rsidR="00F1333F" w:rsidRDefault="000E012F">
      <w:pPr>
        <w:pageBreakBefore/>
        <w:jc w:val="center"/>
        <w:divId w:val="1672952524"/>
        <w:rPr>
          <w:rFonts w:ascii="Arial" w:eastAsia="Times New Roman" w:hAnsi="Arial" w:cs="Arial"/>
          <w:b/>
          <w:bCs/>
          <w:color w:val="000000"/>
          <w:lang w:val="uk-UA"/>
        </w:rPr>
      </w:pPr>
      <w:bookmarkStart w:id="3" w:name="p1"/>
      <w:bookmarkEnd w:id="3"/>
      <w:r>
        <w:rPr>
          <w:rFonts w:ascii="Arial" w:eastAsia="Times New Roman" w:hAnsi="Arial" w:cs="Arial"/>
          <w:b/>
          <w:bCs/>
          <w:color w:val="000000"/>
          <w:lang w:val="uk-UA"/>
        </w:rPr>
        <w:lastRenderedPageBreak/>
        <w:t>Розділ I. Основні відомості про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Повне найменування - Публічне акціонерне товариство акціонерний банк "Укргазбанк"; скорочене найменування - АБ "Укргазбанк". Код за ЄДРПОУ - 23697280.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Свідоцтво на знак для товарів і послуг № 24817 від 15.05.2002р. «Укргазбанк».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Свідоцтво на знак для товарів і послуг № 28368 від 15.11.2002р. «ukrgasbank».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Дата проведення державної реєстрації - 21.07.1993р.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заміни свідоцтва про державну реєстрацію, у зв'язку зі зміною назви емітента - 12.06.2009р.; номер свідоцтва серії А01 №374085, видане Солом'янською районною у місті Києві державною адміністрацією.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03047, Солом'янський р-н, м. Київ, вул. Єреванська, б.1. Телефон/факс телефон цілодобової підтримки 0 800 309 000, (044) 494-46-50, e-maіl: mslyuev@ukrgasbank.com, (044) 239-28-30, sfomichova@ukrgasbank.com, (044) 594-11-30. Веб-сторінка, на якій доступна інформація про емітента: http://www.ukrgasbank.com/ukr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спеціального підрозділу емітента по роботі з акціонерами та інвесторами (Департамент інвестиційної діяльності та акціонерного капіталу): м. Київ, вул. Єреванська, 1. Телефон/факс: (044) 594 11 30. Електронна пошта: sfomichova@ukrgasbank.com. Веб-сторінка www.ukrgasbank.com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Строк існування емітента з дати його державної реєстрації, а також строк, до якого емітент буде існувати. </w:t>
      </w:r>
    </w:p>
    <w:p w:rsidR="00F1333F" w:rsidRPr="0068421A" w:rsidRDefault="000E012F">
      <w:pPr>
        <w:jc w:val="both"/>
        <w:rPr>
          <w:rFonts w:ascii="Arial" w:eastAsia="Times New Roman" w:hAnsi="Arial" w:cs="Arial"/>
          <w:color w:val="000000"/>
          <w:sz w:val="22"/>
          <w:szCs w:val="22"/>
        </w:rPr>
      </w:pPr>
      <w:r>
        <w:rPr>
          <w:rFonts w:ascii="Arial" w:eastAsia="Times New Roman" w:hAnsi="Arial" w:cs="Arial"/>
          <w:color w:val="000000"/>
          <w:sz w:val="22"/>
          <w:szCs w:val="22"/>
          <w:lang w:val="uk-UA"/>
        </w:rPr>
        <w:t xml:space="preserve">      Дата проведення державної реєстрації емітента 21.07.1993р. Емітент створений на невизначений строк, згідно з установчими документами. </w:t>
      </w:r>
    </w:p>
    <w:p w:rsidR="00F1333F" w:rsidRPr="0068421A" w:rsidRDefault="00F1333F">
      <w:pPr>
        <w:jc w:val="both"/>
        <w:rPr>
          <w:rFonts w:ascii="Arial" w:eastAsia="Times New Roman" w:hAnsi="Arial" w:cs="Arial"/>
          <w:color w:val="000000"/>
          <w:sz w:val="22"/>
          <w:szCs w:val="22"/>
        </w:rPr>
      </w:pP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Інформація про купівлю чи продаж понад 10 відсотків вартості активів (у тому числі акцій (частки, паю) у статутному (складеному, пайовому) капіталі іншої юридичної особи), не пов'язану з основною діяльністю, що мала місце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випадків купівлі чи продажу емітентом понад 10 відсотків вартості активів у статутному (складеному, пайовому) капіталі іншої юридичної особи не відбулося.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Інформація про структурні зміни, які відбулись протягом звітного періоду в органах емітента, організаційній структурі емітента, основних структурних підрозділах емітента та їх функціональному призначенні.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 це Банк з розвинутою регіональною структурою на території України. Організаційна структура АБ “Укргазбанк” визначається рішеннями Правління Банку. Кожний підрозділ діє відповідно до завдань, функцій, повноважень та прав, встановлених для нього у положенні про відповідний підрозділ та іншими актами внутрішнього регулювання.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30.09.2012 року АБ “Укргазбанк” мав наступну організаційну структуру: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Правління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внутрішнього аудиту;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Голови Правління;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банківської безпеки;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корпоративного секретаря;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Юридична служба;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Перший відділ;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управління персоналом;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депозитарної діяльності;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методології та реінжинірингу бізнес-процесів;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ризик-менеджменту;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роздрібного банкінгу;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Центр прийняття кредитних рішень;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управління мережею;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Дирекція дистанційних продажів;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з питань взаємодії з небанківськими установами;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корпоративного банкінгу;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інформаційної політики, маркетингу та реклами;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по роботі з корпоративними та VIP клієнтами;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по зв’язках з громадськістю;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по роботі з системними клієнтами;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врегулювання боргових конфліктів;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інвестиційної діяльності та акціонерного капіталу;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Казначейство;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Генеральний Департамент розвитку інформаційних технологій;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міжнародного бізнесу;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фінансового моніторингу;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Фінансово-економічний департамент;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супроводження та підтримки операційної діяльності;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обліку внутрішньобанківських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методології, контролю та звітності;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податкового обліку та розрахунків з бюджетом;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грошового обігу, касових операцій та перевезення цінностей;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централізованого супроводження та підтримки клієнтських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Адміністративно господарський департамент;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організації конкурсних торгів;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охорони праці;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управління іпотечним покриттям;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проектів;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операційної підтримки автоматизованих банківських систем;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регіонального управління мережею;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Київська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Волинська регіональна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Подільська регіональна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Одеська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Черкаська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Кіровоградська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Дніпропетровська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Запорізька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Чернівецька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Херсонська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Харківська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Закарпатська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Львівська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Сумська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Донецька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Кримська республіканська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Полтавська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Івано-Франківська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Луганська обласна дирекція.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структуру Банку входять структурні підрозділи мережі Банку – відділення, які організаційно побудовані відповідно до типових організаційних структур, затверджених Правлінням Банку, які здійснюють банківські та інші операції, передбачені Положеннями про ці.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Загальне керівництво діяльністю структурних підрозділів Банку здійснює Правління банку згідно зі своїми рішеннями, рішеннями Наглядової Ради та Загальних зборів учасників Банку через структурні підрозділи Головної установи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в організаційній структурі емітента відбулись наступні зміни: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- 02.07.2012 року створено управління методології, контролю та звітності;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- 19.07.2012 року створено управління операційної підтримки автоматизованих банківських систем;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- 03.09.2012 року реорганізовано Київську регіональну дирекцію АБ «Укргазбанк» у Київську обласну дирекцію АБ «Укргазбанк», а також із адміністративного підпорядкування Київської регіональної дирекції АБ «Укргазбанк» виведено відділення, що знаходяться у м. Києві, Київській та Чернігівській областях, та переведено їх у адміністративне підпорядкування Київської обласної дирекції АБ «Укргазбанк».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оптимізації витрат та підвищення ефективності роботи мережі Банку протягом 3 кварталу 2012 року тимчасово призупинено 10 неефективно працюючих відділень та змінено місцезнаходження та категорійність одного відділення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Тимчасово призупинено роботу таких відділень: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73/19 - 46000, м. Тернопіль, вул Академіка О. Брюкнера, 2/19;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84/19 - 47003, Тернопільська обл., м. Кременець, вул. Шевченка, 67;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138/23 - 18000, м. Черкаси, вул. Смілянська, 127;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134/23 - 18002, м. Черкаси, вул. Громова, 142;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137/23 - 19741, Черкаська обл., Золотоніський р-н, с. Вознесенське;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253/15 - 68600, Одеська обл., м. Ізмаїл, пр-т Суворова, 362;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212/15 - 66800, Одеська обл., смт Ширяєве, вул. Калініна, 147/1;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232/01 - 24200, Вінницька обл., Томашпільський р-н, м. Томашпіль, вул. Леніна, 21;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299/13 - 79491, м. Львів - смт Брюховичі, вул. Незалежності України, 29;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відділення № 300/13 - 80362, Львівська обл., Жовківський р-н, смт Куликів, вул. Загорода, 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23.07.2012 року змінено місцезнаходження відділення № 50 з адреси: 04128, м. Київ, вул. Ак. Туполєва, 15, на адресу: 03020, м. Київ, пр-т Повітрофлотський, 41.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Одночасно при зміні місцезнаходження відділення № 50, змінено його категорійність з "Б" на "В".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Інформація про створення протягом звітного періоду нових дочірніх підприємств емітента або набуття підприємством протягом звітного періоду статусу залежного від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емітентом не створювались дочірні підприємства та випадки набуття статусу залежного від емітента підприємства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Випадків ліквідації дочірнього або залежного підприємства протягом звітного кварталу не було, оскільки дочірні/залежні підприємства у емітента відсутні.</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Інформація про розмір зареєстрованого і сплаченого статутного (складеного, пайового) та власного капіталу емітента на початок та кінець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01.07.2012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Статутний капітал – 10 000 000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капітал – 2 921 011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Статутний капітал – 10 000 000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капітал – 3 029 020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Інформація про об'єднання підприємств (асоціації, корпорації, концерни, консорціуми, інші об'єднання підприємств) чи групи суб'єктів господарювання (фінансово-промислові групи, холдингові компанії тощо), у яких емітент став учасником або припинив участь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3 кварталу 2012 року емітент не ставав учасником та не припиняв участь у об'єднаннях підприємств чи групах суб'єктів господарювання.</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Інформація щодо чергових та позачергових зборів акціонерів, які відбулися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емітентом не проводилися чергові та позачергові збори акціонерів.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відповідності до ст. 32 Закону України «Про акціонерні товариства», річні загальні збори товариства проводяться не пізніше 30 квітня наступного за звітним роком.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Річні загальні збори акціонерів емітента за 2011 рік проводились 06 - 07 квітня 2012 року. </w:t>
      </w:r>
    </w:p>
    <w:p w:rsidR="00F1333F" w:rsidRDefault="000E012F">
      <w:pPr>
        <w:pageBreakBefore/>
        <w:jc w:val="center"/>
        <w:divId w:val="1087000760"/>
        <w:rPr>
          <w:rFonts w:ascii="Arial" w:eastAsia="Times New Roman" w:hAnsi="Arial" w:cs="Arial"/>
          <w:b/>
          <w:bCs/>
          <w:color w:val="000000"/>
          <w:lang w:val="uk-UA"/>
        </w:rPr>
      </w:pPr>
      <w:bookmarkStart w:id="4" w:name="p2"/>
      <w:bookmarkEnd w:id="4"/>
      <w:r>
        <w:rPr>
          <w:rFonts w:ascii="Arial" w:eastAsia="Times New Roman" w:hAnsi="Arial" w:cs="Arial"/>
          <w:b/>
          <w:bCs/>
          <w:color w:val="000000"/>
          <w:lang w:val="uk-UA"/>
        </w:rPr>
        <w:lastRenderedPageBreak/>
        <w:t>Розділ II. Фактори ризику</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Інформація щодо поточних і потенційних господарських, фінансових та економічних ризиків.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працює в умовах динамічних змін кон’юнктури на основних сегментах фінансового ринку: грошовому, кредитному, валютному та фондовому. До основних ризиків, які властиві будь-якій банківській установі та можуть впливати на діяльність АБ “Укргазбанк”, належать: кредитний, ліквідності, ринковий, процентний, валютний, операційний. Зазначені ризики є керованими, контролюються спрямованою на це системою оцінки та управління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процесі управління ризиками задіяні Наглядова рада, Правління, Служба внутрішнього аудиту, Департамент з питань взаємодії з небанківськими установами та спеціалізований підрозділ – Департамент ризик-менеджменту.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Правління Банку є відповідальним за функціонування системи внутрішнього контролю та управління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Наглядова рада систематично відстежує стан управління ризиками, впливає на обрану Правлінням політику управління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оцінює адекватність систем та управління ризиками, здійснює нагляд за виконанням системи внутрішнього контролю та оцінює її достатність і ефективність.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Департамент з питань взаємодії з небанківськими установами проводить роботу з організації, налагодження, координації процесу взаємодії Банку та його структурних підрозділів з партнерами Банку, а також проводить аналіз надійності партнерів банку – страхових компаній, суб’єктів оціночної діяльності.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функції Департаменту ризик-менеджменту: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проведення кількісної та якісної оцінки ризиків, на які наражається Банк або які можуть надалі з’явитися в його діяльності;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методології з управління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розробка інфраструктури для отримання даних від інших систем, створення системи для автоматизованого ведення та обробки бази даних щодо ризиків, а також для забезпечення безперервного моніторингу та оцінки різних ризиків;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надання висновків щодо якості звітів суб’єктів оціночної діяльності шляхом перевірки на відповідність дотримання чинного законодавства України, Національних стандартів, норм професійної оціночної діяльності для винесення питання щодо акредитації суб’єктів оціночної діяльності у Банку на розгляд комісії з питань взаємодії з небанківськими установами;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ідентифікація та моніторинг порушення лімітів;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можливих сценаріїв зміни якості кредитного портфеля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звітності щодо ризикових позицій та надання рекомендацій Наглядовій Раді та Правлінню щодо їх оптимального значення;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участь у кредитному процесі та в процесі проведення реструктуризації кредитної заборгованості клієнтів в частині оцінки фінансового стану позичальників та оцінки ліквідності забезпечення.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Комітети та комісії, які беруть участь у процесі управління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Кредитна рада;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Кредитний комітет;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Роздрібний кредитний комітет;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Кредитні комісії дирекцій/відділень;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Комітет з питань управління активами та пасивами;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Комітет з питань управління операційними ризиками;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 питань взаємодії з небанківськими установами.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Банківській діяльності притаманний ризик, яким управляють за допомогою постійного процесу виявлення, оцінки та контролю ризиків, з урахуванням лімітів ризику та інших засобів контролю. Процес управління ризиками є вирішальним для постійної прибутковості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Кредитний ризик – це наявний або потенційний ризик для надходжень та капіталу, який виникає через неспроможність сторони, що взяла на себе зобов’язання, виконати умови будь-якої фінансової угоди із Банком (його підрозділом) або в інший спосіб виконати взяті на себе зобов’язання. Кредитний ризик є в усіх видах діяльності, де результат залежить від діяльності контрагента, емітента або позичальника.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Ризик ліквідності – наявний або потенційний ризик для надходжень та капіталу, який виникає через неспроможність банку виконати свої зобов’язання у належні строки, не зазнавши при цьому неприйнятних втрат.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Операційний ризик - це потенційний ризик для існування банку, що виникає через недоліки корпоративного управління, системи внутрішнього контролю або неадекватність інформаційних технологій і процесів оброблення інформації з точки зору керованості, універсальності, надійності, контрольованості і безперервності роботи.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Ризик зміни процентної ставки – це наявний або потенційний ризик для надходжень або капіталу, який виникає внаслідок несприятливих змін процентних ставок.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Валютний ризик виникає через наявність потенційного ризику для надходжень та капіталу, який виникає через несприятливі коливання курсів іноземних валют та цін на банківські метали.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Ринковий ризик – це наявний або потенційний ризик для надходжень та капіталу, який виникає через несприятливі коливання вартості цінних паперів та товарів і курсів іноземних валют за тими інструментами, які є в торговельному портфелі. Цей ризик випливає з маркетмейкерства, дилінгу, прийняття позицій з боргових та пайових цінних паперів, валют, товарів та похідних інструментів (деривативів).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Для забезпечення стабільної та надійної діяльності Банк дотримуватиметься виваженої стратегії ризик менеджменту.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цілому ризики, на які наражається Банк, є керованими та знаходяться на прийнятних рівнях, що забезпечується їх ефективним управлінням.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3 кварталі 2012 року АБ "Укргазбанк" дотримано ліміти та індикативні показники, встановлені Національним банком України та внутрішні ліміти щодо кожного із видів ризику.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01.10.2012 року економічні нормативи, встановлені Національним банком України, приймали наступні значення: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достатності регулятивного капіталу складав 18,74%, при нормативному значенні не менше 10%;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миттєвої ліквідності складав 38,31%, при нормативному значенні не менше 20%;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поточної ліквідності складав 55,64%, при нормативному значенні не менше 40%;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короткострокової ліквідності складав 78,42%, при нормативному значенні не менше 60%;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інвестування в цінні папери окремо за кожною установою складав 0,59%, при нормативному значенні не більше 15%;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норматив загальної суми інвестування складав 0,67%, при нормативному значенні не більше 60%.</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2.1.1. Фактори (чинники) ризику, пов'язані з інвестуванням у цінні папери емітента, які включають, але не обмежуються такими: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факторах, які обмежують можливість акціонерів впливати на рішення стосовно обрання членів органів емітента або інших питань, що вирішуються шляхом голосування акціонерів -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факторах, що можуть спричинити "розмиття" поточної частки акціонера у статутному капіталі емітента -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факторах, що можуть обмежувати виплати дивідендів за акціями або основної суми та відсотків за борговими цінними паперами емітента - Програма фінансового оздоровлення Емітента, затверджена загальними зборами акціонерів Емітента 30.05.2011 (протокол №2), передбачає припинення виплати дивідендів акціонерам Емітента до моменту прийняття окремого рішення Фонду державного майна України в частині встановлення відсотку прибутку Емітента, який має відраховуватись до бюджету у вигляді дивідендів.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фактах обмеження можливості відчуження цінних паперів емітента їхніми власниками через недостатню ліквідність чи інші факти -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будь-які істотні зміни у фактах прийняття законодавчих актів, які можуть вплинути на виплату дивідендів, процентів або інших виплат нерезидентам у Емітента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будь-які істотні зміни у фактах прийняття законодавчих актів, які можуть вплинути на порядок оподаткування доходів за розміщеними емісійними цінними паперами та </w:t>
      </w:r>
      <w:r>
        <w:rPr>
          <w:rFonts w:ascii="Arial" w:eastAsia="Times New Roman" w:hAnsi="Arial" w:cs="Arial"/>
          <w:color w:val="000000"/>
          <w:sz w:val="22"/>
          <w:szCs w:val="22"/>
          <w:lang w:val="uk-UA"/>
        </w:rPr>
        <w:lastRenderedPageBreak/>
        <w:t xml:space="preserve">цінними паперами, які розміщуються, що може вплинути на розмір прибутку власників цінних паперів у емітента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факти, що можуть негативно вплинути на права власників цінних паперів емітента, включаючи можливість реалізації цих прав -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2.1.2. Фактори ризику стосовно фінансово-господарського стану емітента, які включають, але не обмежуються такими: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Діяльність банку у 2012 році, в тому числі у 3 кварталі, є прибутковою. Банк не очікує отримання збитків у наступних періодах. Чистий прибуток банку за 3 квартал 2012 року складає 108,3 млн.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фактах щодо виснаження управлінських та оперативних ресурсів та можливої нестачі ресурсів відсутні. Одним зі стратегічних завдань банку є ефективне управління миттєвою та поточною ліквідністю та валютною позицією банку. Банк планує, що операційна діяльність буде повністю забезпечена необхідними ресурсами за прийнятними цінами;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фактах щодо нестачі грошових коштів, необхідних для обслуговування боргів емітента - відсутні. Операційний рух грошових коштів до зміни поточних активів та зобов’язань за 3 квартал та 9 місяців 2012 є позитивним та складає 208 млн. грн. та 436,6 млн. грн. відповідно.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АБ «Укргазбанк» діє підставі банківської ліцензії № 123 від 06.10.2011р., виданої Національним банком України. Банківська ліцензія є безстроковою.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Проблеми із залученням коштів для розширення діяльності – відсутні. Протягом 3 кварталу 2012 року банк активно залучав депозитні кошти бюджетних установ, суб’єктів господарювання та фізичних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Будь-які істотні зміни у фактах нездатності емітента встигати за розвитком і впровадженням сучасних технологій, важливих для його діяльності -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ризики, пов'язані з судовими процесами, учасником яких виступає емітент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ризики, пов'язані зі шкідливим впливом діяльності емітента на навколишнє середовище та застосуванням заходів впливу з боку державних органів, які здійснюють нагляд у сфері охорони навколишнього середовища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2.1.3. Політичні та макроекономічні ризики емітента, які включають, але не обмежуються такими: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щодо фактів прийняття законодавчих актів, які можуть призвести до зростання податкових платежів, штрафів і пені, що застосовуються до емітента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Банк планує свою діяльність з урахуванням стабільності політичного та економічного розвитку 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впливу неефективної судової системи на діяльність емітента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обмеження валютних операцій у емітента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Інформація стосовно системи оцінки та управління ризиками (за наявності).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складові політики управління окремими видами ризику: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2.2.1. Основні функції управління кредитним ризиком покладено на кредитну раду банку, яка діє в межах повноважень, визначених Правлінням банку, та нормативів кредитного ризику, встановлених Національним банком України. Кредитна рада затверджує умови фінансування окремих кредитних проектів, класифікацію кредитного портфеля та формування резерву за активними операціями, встановлює ліміти повноважень на проведення певних активних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Інструментами управління кредитного ризику 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система лімітування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якістю кредитного портфеля;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концентрацій та диверсифікації активів;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класифікація кредитного портфеля та формування резерву за активними операціями.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Зменшення кредитного ризику досягається шляхом: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обмеження повноважень кредитних органів шляхом лімітування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розгляду кредитної заявки службами банку, які забезпечують незалежну оцінку проекту (департамент ризик-менеджменту, юридичний департамент, департамент банківської безпеки);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відмови від високоризикових кредитних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покращення якості сформованого кредитного портфеля та зменшення розміру простроченої заборгованості за рахунок реструктуризації заборгованості;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індивідуальних умов реструктуризації юридичних осіб з урахуванням виду бізнесу, грошових потоків, ліквідності забезпечення та перспектив діяльності;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посилення роботи з простроченою заборгованістю, зменшення портфеля проблемних активів (прострочених зобов’язань) за рахунок реалізації заставного майна.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2.2.2. Управління ризиком ліквідності здійснюється шляхом застосування наступних інструментів: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ліквідністю шляхом підтримки певного обсягу високоліквідних активів;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планових індикаторів показників ризику ліквідності;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доступністю ресурсів на грошових ринках;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параметрів фондування активних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методу сценаріїв по оцінці ліквідності щомісячних грошових потоків;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проведення стрес-тестування факторів, що можуть спричинити кризу ліквідності.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покращення ліквідності банком прийнято ряд заходів: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здійснюється поточне управління ліквідністю шляхом формування планів очікуваних надходжень та відтоку грошових коштів в наступні 30 днів, регулювання майбутнього руху грошових коштів для забезпечення прийнятного рівня ліквідності та контролю за фактичним виконанням даних планів; довгострокове управління ліквідністю шляхом співставлення сум за активами та пасивами прогнозного балансу (щомісячно за строками до погашення) та розробки заходів щодо підтримання у майбутньому відповідного рівня ліквідності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встановлено індикатори основних прогнозних показників діяльності банку та здійснюється щоденний / щомісячний моніторинг та контроль їх дотримання (нормативи ліквідності, обсяг обов'язкових резервів, який має щоденно на початок операційного дня зберігатися на кореспондентському рахунку банку в НБУ, обсяг залишку коштів на окремому рахунку в НБУ, ліміти кредитування тощо);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розроблено графік збалансування активно-пасивних операцій за термінами погашення;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метою оптимізації залишків грошових коштів в касах структурних підрозділів банку затверджуються ліміти залишків грошових коштів, забезпечується приведення залишків грошових коштів в касах структурних підрозділів до лімітних значень шляхом реалізації надлишків грошових коштів в регіонах розташування структурних підрозділів банку або вивезення надлишків готівки до Головного банку. Також здійснюється моніторинг та контроль дотримання встановлених лімітів;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здійснюється формування вторинного запасу ліквідності у вигляді ОВДП.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2.2.3. У процесі управління ринковим ризиком департамент ризик-менеджменту здійснює оцінку ризику відкритих позицій, що підлягають впливу ринкового ризику в розрізі переліку інструментів, які формують торговий портфель банку. КУАП встановлює, переглядає, закриває ліміти відкритої валютної позиції за поданням департаменту ризик-менеджменту на підставі наявності факторів, що можуть свідчити про зміну валютного (фондового) ринку, які здатні спричинити стресові коливання курсів валют.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Інструментами управління ринковим ризиком 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лімітів на суму конкретної угоди щодо купівлі/продажу, з урахуванням умов, за якими результат проведення залежить від коливання ринкових цін;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загальний розмір валютної позиції;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вкладення у цінні папери;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оцінка волатильності котирувань;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позаплановий перегляд лімітів у випадку різкої зміни кон’юнктури на ринку або значного зниження ресурсної бази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резервів на покриття можливих збитків.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2.2.4. При здійсненні функцій контролю та моніторингу рівня процентного ризику департамент ризик-менеджменту проводить: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моніторингу форми кривої доходності банку та оцінку її відповідності поточному ринковому рівню в розрізі строків та окремих валют;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та контроль дотримання структурними підрозділами банку обмежень щодо встановлення процентних ставок залучення та розміщення в розрізі окремих валют;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дотримання банком в цілому встановленого у бізнес-плані мінімального значення процентного спреду та надання пропозиції КУАП щодо прийняття управлінських рішень щодо загального коригування кривої доходності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впливу на стан дотримання банком процентного спреду обсягів операцій та зваженої доходності (вартості) за основними процентними активами та пасивами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сценаріїв впливу зростання чи зменшення діючих ставок за активами / пасивами, а також зміни обсягів процентних активів / пасивів на процентний результат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2.2.5. Управління валютним ризиком базується на обраній стратегії менеджменту валютного ризику, яка включає у себе наступні елементи: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централізація управління валютним ризиком;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усіх можливих заходів уникнення ризику, що призводить до значних збитків;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контроль та мінімізація сум збитків, якщо не існує можливості уникнення ризику;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системи лімітів: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загальної відкритої валютної позиції по банку в цілому, у розрізі підрозділів та операцій;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суму можливих збитків від зміни валютного курсу;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казначейські операції (торговельні операції, неторговельні операції з готівковою іноземною валютою, операції з банківськими металами).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КУАП є колегіальним органом банку, який на щомісячній основі контролює виконання лімітів, в разі досягнення понадлімітних значень розглядає пропозиції департаменту ризик-менеджменту щодо приведення розміру позиції у відповідність із встановленим лімітом або переглядає/закриває ліміти.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2.2.6. Основним органом управління операційно-технологічним ризиком в банку є Правління банку, до повноважень якого входить формування політики з управління операційно-технологічним ризиком, затвердження відповідних політик та процедур. Комітет з питань управління операційними ризиками (КУОР) є виконавчим комітетом Правління, до функцій якого входить втілення політики управління операційним ризиком, удосконалення бізнес-процесів, запровадження систем внутрішнього контролю, розробка комплексу заходів за результатами розгляду операційних інцидентів.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зменшення операційного ризику було запроваджено наступні заходи: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консолідації інформації та її використання з метою подальшого аналізу операційних ризиків (інцидентів) та попередження їх в майбутньому був розроблений та запроваджений програмний комплекс "База операційних інцидентів", який містить консолідовану інформацію стосовно реалізованих операційних ризиків та обсягів збитків за ними.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виявлення операційних інцидентів протягом звітного місяця та внесення їх до «Бази операційних інцидентів».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операційних інцидентів, інформація за якими надана іншими підрозділами банку, з подальшим їх винесенням на засідання КУОР для прийняття рішень по мінімізації операційних ризиків шляхом удосконалення бізнес-процесів із запровадженням додаткових інструментів контролю.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щомісячного звіту для керівництва з інформацією про виявлені та зареєстровані події в Базі операційних інцидентів протягом звітного періоду та заходи по зменшенню ризиків.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прийняття участі у погодженні технологічних карт бізнес-процесів з метою застосування додаткових заходів контролю та мінімізації операційних ризиків.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формування карт операційних ризиків банку до технологічних карт бізнес-процесів.</w:t>
      </w:r>
    </w:p>
    <w:p w:rsidR="00F1333F" w:rsidRDefault="000E012F">
      <w:pPr>
        <w:pStyle w:val="pagebreak"/>
        <w:rPr>
          <w:color w:val="000000"/>
          <w:lang w:val="uk-UA"/>
        </w:rPr>
      </w:pPr>
      <w:r>
        <w:rPr>
          <w:color w:val="000000"/>
          <w:lang w:val="uk-UA"/>
        </w:rPr>
        <w:t> </w:t>
      </w:r>
    </w:p>
    <w:p w:rsidR="00F1333F" w:rsidRDefault="000E012F">
      <w:pPr>
        <w:pageBreakBefore/>
        <w:jc w:val="center"/>
        <w:divId w:val="1167330852"/>
        <w:rPr>
          <w:rFonts w:ascii="Arial" w:eastAsia="Times New Roman" w:hAnsi="Arial" w:cs="Arial"/>
          <w:b/>
          <w:bCs/>
          <w:color w:val="000000"/>
          <w:lang w:val="uk-UA"/>
        </w:rPr>
      </w:pPr>
      <w:bookmarkStart w:id="5" w:name="p3"/>
      <w:bookmarkEnd w:id="5"/>
      <w:r>
        <w:rPr>
          <w:rFonts w:ascii="Arial" w:eastAsia="Times New Roman" w:hAnsi="Arial" w:cs="Arial"/>
          <w:b/>
          <w:bCs/>
          <w:color w:val="000000"/>
          <w:lang w:val="uk-UA"/>
        </w:rPr>
        <w:lastRenderedPageBreak/>
        <w:t>Розділ III. Інформація про господарську діяльність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3.1. Основні види діяльності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видом діяльності емітента за КВЕД є "Інші види грошового посередництва" - 64.19.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періоду емітент не здійснював нові види діяльності та не припиняв існуючі.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3.2. Інформація про основні види продукції.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Оскільки емітент є банківською установою, який виконує функцію надання фінансових послуг юридичним та фізичним особам, основними продуктами є: залучення депозитів, надання кредитів фізичним та юридичним особам, інвестиційна діяльність (діяльність на фондовому ринку), діяльність на міжбанківському ринку. Саме за рахунок цих продуктів емітент отримав значну долю свого доходу.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залучених депозитів клієнтів протягом 3 кварталу 2012 року становить – 2 754 125 419,14 грн. з 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депозити, що залучені за рахунок коштів бюджету - 354 539 956,08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депозити суб'єктів господарювання - 589 722 612,48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депозити небанківських фінансових установ - 93 960 877,96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депозити фізичних осіб - 1 715 901 972,62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наданих кредитів клієнтам протягом 3 кварталу 2012 року становить – 4 415 765 496,42 грн. з 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кредити, що надані суб'єктам господарювання - 3 909 473 907,00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кредити, що надані небанківським фінансовим установам - 5 248 082,26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кредити, що надані фізичним особам - 501 043 507,16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продажу цінних паперів протягом 3 кварталу 2012 року становить – 9 995 062 615,03 грн., з них облігацій внутрішньої державної позики – 9 073 489 730,63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Обсяги здійснення операцій на міжбанківському ринку становлять: депозити, що залучені від інших банків – 2 424 984 058,20 грн.; депозити, що розміщені в інших банках – 2 035 144 333,31 грн.; кредити, що надані іншим банкам – 22 132 637 191,45 грн.; кредити, що отримані від інших банків – 12 255 321 733,95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Доходи банку за 3 квартал 2012 року склали – 670 444 тис. грн., з 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процентні доходи – 579 163 тис. грн. (86,39%);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комісійні доходи – 38 406 тис. грн. (5,73%);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торгівельний результат – 4 230 тис. грн. (0,63%);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результат від продажу цінних паперів у портфелі банку на продаж – 33 042 тис. грн. (4,93%)</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операційні доходи – 2 580 тис. грн. (0,38%);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результат від переоцінки іноземної валюти – 13 023 тис. грн. (1,94%).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Нові види продукції (роботи, послуги), що впроваджені емітентом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були запропоновані нові види банківських продуктів роздрібного бізнесу, а саме: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відправлення/виплата грошових переказів за міжнародною системою «IntelExpress». Перекази здійснюються в доларах США та євро. Комісія складає від 0,95% від суми грошового переказу;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продаж монет іноземного виробництва, виготовлених з дорогоцінних металів. Впроваджено продаж у всіх регіонах України. Орієнтовний дохід від продажу однієї монети 20-25%;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депозитна програма для фізичних осіб «Проценти наперед», яка дозволяє клієнту отримати дохід у день розміщення вкладу.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умови: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термін розміщення 3-24 міс.;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валюта вкладу – гривня, долар США та євро;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без поповнення;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проценти сплачуються на поточний рахунок фізичної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4) місячна депозитна акція для приватних осіб «Укргазбанку 19!», присвячена 19-річчю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Учасники акції: фізичні особи, крім фізичних осіб-інсайдерів та фізичних осіб-пов’язаних осіб АБ "Укргазбанк", які станом на 21.07.2012 були зареєстрованими користувачами соціальної мережі Facebook, та день і місяць народження яких співпадає з датою створення АБ "Укргазбанк" – 21 липня.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Зміст акції: для всіх учасників акції, які в період проведення акції розміщують депозит надається можливість отримати надбавку до процентної ставки по такому депозиту в розмірі +1,9%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тарифний план "Приватна співпраця" з обслуговування поточних рахунків для клієнтів-фізичних осіб, у яких відкритті поточні рахунки в АТ «РОДОВІД БАНК». Дозволить збільшити клієнтську базу та пасиви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індивідуальні умови кредитування на придбання автомобілів SKODA YETI в мережі автосалонів, які входять до складу «АВТОТРЕЙДИНГ АТОЛЛ ГРУП» в рамках програми цільового роздрібного кредитування “Авто в кредит” (нові автомобілі). Запровадження спільних з автосалоном індивідуальних умов авто кредитування дозволить залучати більшу кількість клієнтів, запропонувавши їм більш привабливі умови кредитування на придбання автомобілів SKODA YETI, а саме: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 до 5 років;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30% вартості авто;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2,5% від суми кредиту;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залежить від розміру власного внеску та строку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30%до 49,99%):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- 3,5%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- 9,9%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- 12,3%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3 років (+1 день) до 4 років (включно), процентна ставка - 13,5%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4 років (+1 день) до 5 років (включно), процентна ставка - 14,0%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50% і більше):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- 0,01%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- 8,0%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- 10,9%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3 років (+1 день) до 4 років (включно), процентна ставка - 11,9%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4 років (+1 день) до 5 років (включно), процентна ставка - 12,9% в UAH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програма цільового роздрібного кредитування “Житло в кредит” (первинний ринок). Запровадження даної програми надало змогу вийти на новий сегмент кредитування – кредитування на придбання житлової нерухомості на первинному ринку. Основними умовами кредитування 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 до 20 років;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30% від ринкової вартості майнових прав на нерухомість/вартості цінних паперів;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1,5% від суми кредиту;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 18,0%.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тарифний план "Дельта Партнерський" для клієнтів-позичальників ПАТ «Дельта Банк» (відкриття картрахунків з метою зарахування, зберігання та виплати кредитних коштів, перерахованих ПАТ «Дельта 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продаж через мережу відділень кредитних продуктів ПАТ «Дельта Банк», що дозволить відділенням АБ «Укргазбанк» збільшити розмір комісійних доходів від продажу кожного кредиту. Розмір комісійного доходу складає 1%( з ПДВ) та 10% (без ПДВ).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банком впроваджені наступні програми кредитування малого та середнього бізнесу: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«Обладнання для бізнесу». Тип кредиту – кредит, невідновлювальна кредитна лінія. Строк кредитування – до 60 місяців. Процентна ставка залежить від строку кредитування і власного внеску позичальника та становить 19 – 21,5% річних. Разова комісія – 1,0% від суми кредиту (ліміту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2) «Нерухомість для бізнесу». Тип кредиту – кредит, невідновлювальна кредитна лінія. Строк кредитування – до 84 місяців. Власний внесок позичальника – від 25% вартості нерухомості. Процентна ставка при кредитуванні до 36 місяців – 24,2% річних, при кредитуванні понад 36 місяців – 24,6% річних. Разова комісія – 1,0% від суми кредиту (ліміту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«Розвиток бізнесу». Тип кредиту – кредит, відновлювальна або невідновлювальна кредитна лінія. Строк кредитування залежить від цільового використання та відповідає: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поповнення обігових коштів – 24 місяцям;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реконструкції (будівництва, ремонту тощо) основних засобів – 48 місяців (при цьому, надання кредитних коштів повинно здійснюватись поетапно, по мірі використання попередньо наданих траншів);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споживчі потреби (виключно для фізичних осіб – підприємців) – не більше 60 місяців;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придбання основних засобів – не більше 84 місяців.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Процентна ставка при кредитуванні до 24 місяців – 24,0% річних, при кредитуванні до 60 місяців – 24,5% річних, при кредитуванні до 84 місяців – 25% річних. Разова комісія – 1,0% або 2,0% від суми кредиту (ліміту кредитування) для юридичних осіб та фізичних осіб – підприємців відповідно.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Партнерська програма по співпраці з ПАТ «ХК «Київміськбуд» та СК «Гранд-поліс» щодо кредитування на придбання нежитлової нерухомості на первинному ринку. Тип кредиту – кредит, невідновлювальна кредитна лінія. Строк кредитування – до 96 місяців. Власний внесок позичальника – від 25% вартості нерухомості. Процентна ставка залежить від строку кредитування і власного внеску позичальника та становить 20,5 – 21,2% річних. Разова комісія – 1,5% від суми кредиту (ліміту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Умови співпраці з Корпорацією «УкрАвто» у межах програми кредитування малого та середнього бізнесу «Транспортні засоби для бізнесу». Тип кредиту – кредит. Строк кредитування залежить від країни виробника транспортного засобу/спецтехніки та становить – не більше 36 місяців – виробництва Китаю, Ірану та Індії , вітчизняних марок (ЗАЗ), російських марок (ВАЗ). Процентна ставка становить 18,5 річних. Разова комісія – 2,7% від суми кредиту. В межах програми можливо надання кредиту на оплату страховки КАСКО на перший рік кредитування або на придбання та встановлення газобалонного обладнання.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банком впроваджені наступні комісійні продукти малого та середнього бізнесу: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Тарифний план «Поточний»: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поточного рахунку – 30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Розрахункове обслуговування – 30 грн. щомісячно.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Платіжне доручення через «Клієнт-Інтернет-Банк» – 2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1,0%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Додатково до тарифного плану використовується Тарифний план «КІБ поточний» за допомогою системи «Клієнт-Інтернет-Банк»: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двох ключів (для керівника та головного бухгалтера) – 40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одного ключа – 25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послуги «Центр фінансового контролю» - 160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Щомісячна абонентська плата – 75-85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Тарифний план «Вільний рух»: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вартість пакетного обслуговування – 75 грн. на місяць.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- 8 платіжних доручень входить в вартість пакетного обслуговування, послідуючі платежі по 2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1,5%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Тарифний план «Успішний рух»: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вартість пакетного обслуговування – 150 грн. на місяць.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- 50 платіжних доручень входить в вартість пакетного обслуговування, послідуючі платежі по 1,5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2%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Тарифний план «Необмежений рух»: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вартість пакетного обслуговування – 250 грн. на місяць.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- 200 платіжних доручень входить в вартість пакетного обслуговування, послідуючі платежі по 1,0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3%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Додатково до вищенаведених тарифних планів використовується Тарифний план «КІБ оптимальний» за допомогою системи «Клієнт-Інтернет-Банк»: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двох ключів (для керівника та головного бухгалтера) – 25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одного ключа – входить у вартість пакетного обслуговування.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послуги «Центр фінансового контролю» - 160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Щомісячна абонентська плата – 85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банком впроваджені наступні види банківських продуктів корпоративного бізнесу: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Тариф на приймання готівки від юридичних осіб та/або фізичних осіб-підприємців через каси АБ «Укргазбанк» для її переказу на користь юридичних осіб та/або фізичних осіб – підприємців. Тариф становить 1% від суми прийнятої готівки, але не менще 10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Акція Депозит «Максимальний» (діє з 16.07.2012 р. по 17.09.2012):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дії Акції кожний новий та існуючий клієнт корпоративного бізнесу, що розміщує грошові кошти на депозит в банку може оформити Акційний «Депозит «Максимальний» на наступних умовах: строк розміщення - 3 місяці (91 дні включно), або 6 місяців (183 дні включно); валюта вкладу - гривня; мінімальна сума початкового внеску – 10 000,00 грн.; максимальна сума вкладу – не обмежена; капіталізація процентів – не дозволяється; зняття частини депозиту без застосування штрафних санкцій - не дозволяється; пролонгація депозиту – не дозволяється.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Внесено зміни в Стандарт банківського продукту «Депозит «Швидкий рух» в частині залучення коштів юридичних осіб та підприємців за даним депозитом в доларах США та ЄВРО та змінено назву «Депозит «Швидкий рух» на «Вклад на вимогу «Швидкий рух».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Програма лояльності до юридичних осіб - позичальників корпоративного бізнесу та МСБ. Програмою визначений порядок застосування пені/санкцій до юридичних осіб - позичальників корпоративного, малого та середнього бізнесу, які мали/мають прострочену заборгованість за кредитами в рамках будь-якої з програм кредитування корпоративного, малого та середнього бізнесу/які порушили умови кредитного договору щодо щомісячного спрямування виручки від реалізації у національній та/або іноземній валюті на рахунки, відкриті в АБ «Укргазбанк».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Затверджена нова редакція програми «Кредитування операційного циклу юридичних осіб». Програма доопрацьована та розширена можливістю кредитування корпоративних клієнтів в іноземній валюті.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3.3. Зміни в системі збуту продукції, які відбулися протягом звітного періоду, та причини таких змін (у разі наявності таких змін).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періоду змін в системі збуту продукції не відбулося. Як і раніше, Банк використовував власні канали збуту, а також партнерську та агентську мережі.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3.4. Зміни, що відбулися в джерелах надходження фінансових ресурсів.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Змін в джерелах надходження фінансових ресурсів, не відбулося.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Проблеми із залученням коштів для розширення діяльності – відсутні. Протягом 3 кварталу 2012 року банк активно залучав депозитні кошти бюджетних установ, суб’єктів господарювання та фізичних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 Інформація про основних клієнтів емітента (ті клієнти, через яких було отримано 10 або більше відсотків доходу).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державна не фінансова корпорація принесла більше 10% доходу банку згідно з умовами договорів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Доходи банку за 3 квартал 2012 року склали – 670 444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3.6. Інформація про спільну діяльність, яку емітент проводить з іншими організаціями, підприємствами, установами.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Емітент спільної діяльності з іншими підприємствами, установами, організаціями не здійснював.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3.7. Інформація про дозволи, ліцензії, необхідні для діяльності емітента, які були отримані (продовжені, анульовані)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Дозволи, ліцензії необхідні для діяльності емітента протягом 3 кварталу 2012 року - не продовжувались та не анульовувались.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3.8. Інформація про об'єкти, щодо яких емітент набув протягом звітного періоду права інтелектуальної власності (торговельні марки, об'єкти авторського права, винаходи, корисні моделі, промислові зразки тощо), та об'єкти, щодо яких протягом звітного періоду права інтелектуальної власності припинили чинність.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Банк не набував прав інтелектуальної власності на об’єкти, а також не мав об’єктів, щодо яких права інтелектуальної власності припинили чинність.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3.9.Інформація про науково-дослідну політику емітента у звітному періоді.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АБ «Укргазбанк» не проводив науково-дослідну роботу.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3.10. Інформація про будь-які суттєві капітальні та/або фінансові інвестиції, що пов'язані з господарською діяльністю емітента, які емітент здійснив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емітентом було витрачено 7 968 831,72 грн. на капітальні інвестиції в необоротні активи (всього з початку 2012 року – 16 834 510,82 грн.). Суттєві капітальні інвестиції в необоротні активи за звітний період: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Ремонт даху, фасаду будівлі за адресою: м.Харків, вул.Космічна 20 – 302 056,70 грн. Фактичний відтік грошових коштів - 16.07.2012, 28.09.2012;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Придбання термінального обладнання – 2 915 010,67 грн. Фактичний відтік грошових коштів - 10.07.2012;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Придбання ліцензій – 120 750,00 грн. Фактичний відтік грошових коштів - 16.07.2012;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Монетниці (вітрини для монет із дорогоцінних металів) – 64 800,00 грн. Фактичний відтік грошових коштів - 08.08.2012;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Закупка причепа для дизель-генератора – 46 140,00 грн. Фактичний відтік грошових коштів - 16.08.2012;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Устаткування для автом.обробки інфор. (сервери) – 354 862,68 грн. Фактичний відтік грошових коштів - 17.08.2012;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Комплектуючи до ПК – 332 550,72 грн. Фактичний відтік грошових коштів - 21.08.2012;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Право на користування КП за ПЛ – 1 562 034,51 грн. Фактичний відтік грошових коштів - 22.08.2012;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Закупівля апаратури запису та відтворення звуку та зображення – 187 978,32 грн. Фактичний відтік грошових коштів - 29.08.2012;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Капітальний ремонт покрівлі власного приміщення банку – 191 268,59 грн. Фактичний відтік грошових коштів - 04.09.2012;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Посл. з впровадж. «Системи ефект.док.обігу «ДокС» – 143 580,00 грн. Фактичний відтік грошових коштів - 24.09.2012;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За машини друкарські та лічильні, детектори валют – 244 960,80 грн. Фактичний відтік грошових коштів - 17.09.2012;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За джерела безперебійного живлення – 99 594,00 грн. Фактичний відтік грошових коштів - 21.09.2012;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Розробка ПЗ «Автом-ція приєдн.баз даних карток» – 70 020,00 грн. Фактичний відтік грошових коштів - 17.09.2012;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Придбання майна для відділення Київської регіональної дирекції – 143 160,00 грн. Фактичний відтік грошових коштів - 13-28.09.2012;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Платіж на закупку обладнання, монтаж, здачу в експлуатацію вузла обліку і регулювання тепла у власному приміщенні – 40 956,00 грн. Фактичний відтік грошових коштів - 12.09.2012.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Джерела фінансування за всіма капітальними інвестиціями – власні кошти. </w:t>
      </w:r>
    </w:p>
    <w:p w:rsidR="00F1333F" w:rsidRDefault="000E012F">
      <w:pPr>
        <w:pStyle w:val="pagebreak"/>
        <w:rPr>
          <w:color w:val="000000"/>
          <w:lang w:val="uk-UA"/>
        </w:rPr>
      </w:pPr>
      <w:r>
        <w:rPr>
          <w:color w:val="000000"/>
          <w:lang w:val="uk-UA"/>
        </w:rPr>
        <w:t> </w:t>
      </w:r>
    </w:p>
    <w:p w:rsidR="00F1333F" w:rsidRDefault="000E012F">
      <w:pPr>
        <w:pageBreakBefore/>
        <w:jc w:val="center"/>
        <w:divId w:val="34044894"/>
        <w:rPr>
          <w:rFonts w:ascii="Arial" w:eastAsia="Times New Roman" w:hAnsi="Arial" w:cs="Arial"/>
          <w:b/>
          <w:bCs/>
          <w:color w:val="000000"/>
          <w:lang w:val="uk-UA"/>
        </w:rPr>
      </w:pPr>
      <w:bookmarkStart w:id="6" w:name="p4"/>
      <w:bookmarkEnd w:id="6"/>
      <w:r>
        <w:rPr>
          <w:rFonts w:ascii="Arial" w:eastAsia="Times New Roman" w:hAnsi="Arial" w:cs="Arial"/>
          <w:b/>
          <w:bCs/>
          <w:color w:val="000000"/>
          <w:lang w:val="uk-UA"/>
        </w:rPr>
        <w:lastRenderedPageBreak/>
        <w:t>Розділ IV. Інформація про основні засоби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 Інформація про первісну (переоцінену) та залишкову вартість основних засобів станом на початок поточного року та на кінець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основних засобів Банку належать основні засоби виробничого призначення: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земельні ділянки;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будинки, споруди та передавальні пристрої;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машини та обладнання;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транспортні засоби;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інструменти, прилади, інвентар (меблі);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основні засоби.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засоби невиробничого призначення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та залишкова вартість основних засобів станом на початок поточного року – 01.01.2012р.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Земельні ділянки – (первісна (переоцінена) вартість – 28 554 700,00 грн.; залишкова вартість – 28 554 700,00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Будівлі, споруди та передавальні пристрої – (первісна (переоцінена) вартість - 491 235 679,00 грн.; залишкова вартість - 491 235 679,00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Інвестиційна нерухомість – (первісна (переоцінена) вартість - 10 265 700,00 грн.; залишкова вартість - 10 265 700,00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Машини та обладнання – (первісна (переоцінена) вартість - 157 119 122,20 грн.; залишкова вартість - 47 030 988,58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Транспортні засоби – (первісна (переоцінена) вартість - 18 018 172,65 грн.; залишкова вартість - 2 521 769,55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Інструменти, прилади, інвентар (меблі) – (первісна (переоцінена) вартість - 50 371 152,83 грн.; залишкова вартість - 17 682 513,53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основні засоби – (первісна (переоцінена) вартість - 9 725 994,31 грн.; залишкова вартість - 1 774 028,95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необоротні матеріальні активи – (первісна (переоцінена) вартість - 37 335 029,52 грн.; залишкова вартість - 2 778 263,90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Незавершені капітальні вкладення в основні засоби та нематеріальні активи – (первісна (переоцінена) вартість - 81 118 134,17 грн.; залишкова вартість - 81 118 134,17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Нематеріальні активи – (первісна (переоцінена) вартість - 24 234 702,73 грн.; залишкова вартість - 11 169 355,76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ВСЬОГО станом на 01.01.2012р. – (первісна (переоцінена) вартість - 907 978 387,41 грн.; залишкова вартість - 694 131 133,44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та залишкова вартість основних засобів станом на кінець звітного періоду – кінець дня 30.09.2012р.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Земельні ділянки – (первісна (переоцінена) вартість – 28 554 700,00 грн.; залишкова вартість – 28 554 700,00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Будівлі, споруди та передавальні пристрої – (первісна (переоцінена) вартість - 491 415 664,51 грн.; залишкова вартість - 481 879 570,75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Інвестиційна нерухомість – (первісна (переоцінена) вартість - 12 074 484,16 грн.; залишкова вартість - 12 074 484,16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Машини та обладнання – (первісна (переоцінена) вартість - 160 287 926,39 грн.; залишкова вартість - 36 772 669,30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Транспортні засоби – (первісна (переоцінена) вартість - 17 510 354,70 грн.; залишкова вартість - 994 108,50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Інструменти, прилади, інвентар (меблі) – (первісна (переоцінена) вартість - 52 222 510,12 грн.; залишкова вартість - 14 164 584,51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основні засоби – (первісна (переоцінена) вартість - 9 635 343,43 грн.; залишкова вартість - 973 203,00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необоротні матеріальні активи – (первісна (переоцінена) вартість - 32 977 717,51 грн.; залишкова вартість - 1 714 501,56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Незавершені капітальні вкладення в основні засоби та нематеріальні активи – (первісна (переоцінена) вартість - 74 755 124,11 грн.; залишкова вартість - 74 755 124,11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Нематеріальні активи – (первісна (переоцінена) вартість - 31 273 614,14 грн.; залишкова вартість - 12 486 594,37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ВСЬОГО станом на кінець дня 30.09.2012р. – (первісна (переоцінена) вартість - 910 707 439,07 грн.; залишкова вартість - 664 369 540,26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4.2. Зміни, які відбулися за звітний період у структурі основних засобів виробничого призначення, зокрема рівень зносу, рівень забезпечення потреб поточної діяльності емітента, придбання та модернізації обладнання та інших активів.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Рівень зносу основних засобiв за 3 квартал 2012 року (наростаючим підсумком з початку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земельні ділянки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будинки, споруди та передавальні пристрої – 1,95%;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машини та обладнання – 6,99%;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транспортнi засоби – 8,32%;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інструменти, прилади, інвентар (меблі) – 7,98%;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основні засоби – 8,14%.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вартість повністю амортизованих основних засобів, які продовжують використовуватись станом на 01.10.2012р.становить 95 852 617,50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змін у структурі основних засобів, методах амортизації та діапазонах строків корисного використання не було.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Емітентом не визнавалися втрати від зменшення корисності об’єктів необоротних активів.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Крім того, в 3 кварталі 2012 року (наростаючим підсумком з початку 2012 року) Банком було витрачено коштів на придбання та модернізацію основних засобів в сумі 7 493 810,23 грн. та 2 059 417,35 грн. відповідно (в 3 кварталі 2011 року: 1 965 756,31 грн. та 6 607 546,22 грн. відповідно). Зменшення витрат на модернізацію основних засобів за звітний період майже в 3 рази обумовлено режимом економії.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Всі основнi засоби використовуються в банкiвськiй дiяльностi в повному обсязi, знаходяться (у виробничих примiщеннях чи поза ними в залежностi вiд категорiї) за адресами Головного офiсу, регiональних, обласних дирекцiй, обласних управлінь та безбалансових вiддiлень.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4.3. Інформація про витрати на поточний та капітальний ремонти основних засобів за звітний період, причини збільшення або зменшення витрат на поточний чи капітальний ремонт у звітному періоді.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(наростаючим підсумком з початку 2012 року) Банком було витрачено коштів на капітальний ремонт основних засобів на 126,33% більше (в сумі 1 105 054,43 грн.) ніж в 3 кварталі 2011 року (488 237,92 грн.). Це обумовлено необхідністю благоустрою території навколо будівлі по вул.Червоноармійська, 39-А згідно розпорядження КМДА №1640 від 08.09.2011р. та необхідності негайного ремонту покрівель у власних приміщеннях. Також, протягом 3 кварталу 2012 року (наростаючим підсумком з початку 2012 року) Банком було витрачено коштів на поточний ремонт основних засобів на 49,23% більше (в сумі 2 053 784,35 грн.) ніж в 3 кварталі 2011 року (1 376 242,97 грн.). Це обумовлено режимом економії (щоб не купувати нові основні засоби, ремонтували діючі основні засоби), а також ступенем зносу основних засобів, який щороку зростає.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4.4. Інформація про первісну (переоцінену) вартість основних засобів, які були надані в заставу за звітний період.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 не надавав в заставу основних засобів, не мав змін в незавершеному будівництві і не визнавав на балансі витрат від зменшення корисності та вигід від відновлення корисності основних засобів.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Також емітент не має основних засобів, щодо яких з початку 2012 року виникли передбачені чинним законодавством обмеження володіння, користування та розпорядження.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4.5. Інформація станом на кінець звітного періоду про: залишкову вартість основних засобів, що тимчасово не використовуються (консервація, реконструкція тощо); первісну (переоцінену) вартість повністю амортизованих основних засобів, які продовжують використовуватись; </w:t>
      </w:r>
      <w:r>
        <w:rPr>
          <w:rFonts w:ascii="Arial" w:eastAsia="Times New Roman" w:hAnsi="Arial" w:cs="Arial"/>
          <w:color w:val="000000"/>
          <w:sz w:val="22"/>
          <w:szCs w:val="22"/>
          <w:lang w:val="uk-UA"/>
        </w:rPr>
        <w:lastRenderedPageBreak/>
        <w:t xml:space="preserve">залишкову вартість основних засобів, вилучених з експлуатації для продажу; первісну вартість, залишкову вартість та метод оцінки основних засобів, отриманих за рахунок цільового фінансування.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30.09.2012р. емітент не має основних засобів, що тимчасово не використовуються (консервація, реконструкція тощо), вилучених з експлуатації для продажу, отриманих за рахунок цільового фінансування та об’єктів незавершеного будівництва.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4.6. Інформація за звітний період про зміну розміру додаткового капіталу в результаті переоцінки основних засобів та обмеження щодо його розподілу між власниками (учасниками).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емітентом не проводилася переоцінка основних засобів, не відбувалися зміни розміру додаткового капіталу.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4.7. Інформація про зміни в незавершеному будівництві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Емітент не має об’єктів незавершеного будівництва.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4.8. Емітент, не має дочірніх підприємств. </w:t>
      </w:r>
    </w:p>
    <w:p w:rsidR="00F1333F" w:rsidRDefault="000E012F">
      <w:pPr>
        <w:pStyle w:val="pagebreak"/>
        <w:rPr>
          <w:color w:val="000000"/>
          <w:lang w:val="uk-UA"/>
        </w:rPr>
      </w:pPr>
      <w:r>
        <w:rPr>
          <w:color w:val="000000"/>
          <w:lang w:val="uk-UA"/>
        </w:rPr>
        <w:t> </w:t>
      </w:r>
    </w:p>
    <w:p w:rsidR="00F1333F" w:rsidRDefault="000E012F">
      <w:pPr>
        <w:pageBreakBefore/>
        <w:jc w:val="center"/>
        <w:divId w:val="505749405"/>
        <w:rPr>
          <w:rFonts w:ascii="Arial" w:eastAsia="Times New Roman" w:hAnsi="Arial" w:cs="Arial"/>
          <w:b/>
          <w:bCs/>
          <w:color w:val="000000"/>
          <w:lang w:val="uk-UA"/>
        </w:rPr>
      </w:pPr>
      <w:bookmarkStart w:id="7" w:name="p5"/>
      <w:bookmarkEnd w:id="7"/>
      <w:r>
        <w:rPr>
          <w:rFonts w:ascii="Arial" w:eastAsia="Times New Roman" w:hAnsi="Arial" w:cs="Arial"/>
          <w:b/>
          <w:bCs/>
          <w:color w:val="000000"/>
          <w:lang w:val="uk-UA"/>
        </w:rPr>
        <w:lastRenderedPageBreak/>
        <w:t>Розділ V. Інформація про працівників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5.1. Інформація про кількість працівників емітента на кінець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року кількість працівників АБ "Укргазбанк", які працюють: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 за основним місцем роботи складає 3 744 особи, з 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Головний банк – 1 032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Київська обласна дирекція – 471 особа;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Черкаська обласна дирекція – 164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Подільська регіональна дирекція – 204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Волинська регіональна дирекція – 273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Одеська обласна дирекція – 253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Кіровоградська обласна дирекція – 50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Івано-Франківська обласна дирекція – 33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Дніпропетровська обласна дирекція – 129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Херсонська обласна дирекція – 44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Чернівецька обласна дирекція – 36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Запорізька обласна дирекція – 43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Закарпатська обласна дирекція – 95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Харківська обласна дирекція – 101 особа;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Сумська обласна дирекція – 125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Донецька обласна дирекція – 128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Кримська регіональна дирекція – 152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Полтавська обласна дирекція – 99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Львівська обласна дирекція – 176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Луганська обласна дирекція – 144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ІІ. за сумісництвом складає - 4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ІІІ. на умовах неповного робочого часу складає - 111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оплати праці за січень – вересень 2012 року по АБ «Укргазбанк» становить 185 436 792,70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Чисельність працівників протягом звітного періоду зменшилась на 107 чоловік, у зв’язку з тим, що функція прибирання службових приміщень Банку була передана іншій сервісній компанії.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5.2. Інформація про будь-які правочини чи зобов'язання емітента, які мали місце у звітному періоді та стосуються можливості участі працівників емітента у його статутному (складеному, пайовому) капіталі (за наявності).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Правочини чи зобов'язання емітента, що стосуються можливості участі працівників емітента у його статутному (складеному, пайовому) капіталі - відсутні. </w:t>
      </w:r>
    </w:p>
    <w:p w:rsidR="00F1333F" w:rsidRDefault="000E012F">
      <w:pPr>
        <w:pStyle w:val="pagebreak"/>
        <w:rPr>
          <w:color w:val="000000"/>
          <w:lang w:val="uk-UA"/>
        </w:rPr>
      </w:pPr>
      <w:r>
        <w:rPr>
          <w:color w:val="000000"/>
          <w:lang w:val="uk-UA"/>
        </w:rPr>
        <w:t> </w:t>
      </w:r>
    </w:p>
    <w:p w:rsidR="00F1333F" w:rsidRDefault="00F1333F">
      <w:pPr>
        <w:pageBreakBefore/>
        <w:spacing w:before="150" w:after="150"/>
        <w:jc w:val="center"/>
        <w:divId w:val="1700424063"/>
        <w:rPr>
          <w:rFonts w:ascii="Arial" w:eastAsia="Times New Roman" w:hAnsi="Arial" w:cs="Arial"/>
          <w:b/>
          <w:bCs/>
          <w:color w:val="000000"/>
          <w:lang w:val="uk-UA"/>
        </w:rPr>
        <w:sectPr w:rsidR="00F1333F">
          <w:footerReference w:type="default" r:id="rId8"/>
          <w:footerReference w:type="first" r:id="rId9"/>
          <w:pgSz w:w="11906" w:h="16838"/>
          <w:pgMar w:top="1134" w:right="851" w:bottom="1134" w:left="1134" w:header="340" w:footer="340" w:gutter="0"/>
          <w:pgNumType w:start="1"/>
          <w:cols w:space="708"/>
          <w:docGrid w:linePitch="360"/>
        </w:sectPr>
      </w:pPr>
      <w:bookmarkStart w:id="8" w:name="p6"/>
      <w:bookmarkEnd w:id="8"/>
    </w:p>
    <w:p w:rsidR="00F1333F" w:rsidRDefault="000E012F">
      <w:pPr>
        <w:pageBreakBefore/>
        <w:jc w:val="center"/>
        <w:divId w:val="1700424063"/>
        <w:rPr>
          <w:rFonts w:ascii="Arial" w:eastAsia="Times New Roman" w:hAnsi="Arial" w:cs="Arial"/>
          <w:b/>
          <w:bCs/>
          <w:color w:val="000000"/>
          <w:lang w:val="uk-UA"/>
        </w:rPr>
      </w:pPr>
      <w:r>
        <w:rPr>
          <w:rFonts w:ascii="Arial" w:eastAsia="Times New Roman" w:hAnsi="Arial" w:cs="Arial"/>
          <w:b/>
          <w:bCs/>
          <w:color w:val="000000"/>
          <w:lang w:val="uk-UA"/>
        </w:rPr>
        <w:lastRenderedPageBreak/>
        <w:t>Розділ VІ. Основні дані про органи та посадових осіб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6.1. Інформація про зміни протягом звітного періоду в компетенції органів емітента, їх персональному складі відповідно до статуту та внутрішніх положень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3 кварталу 2012 року відсутні зміни у складі Правління банку, Наглядової ради та Ревізійної комісії.</w:t>
      </w:r>
    </w:p>
    <w:p w:rsidR="00F1333F" w:rsidRDefault="000E012F">
      <w:pPr>
        <w:divId w:val="146638676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Основні дані про посадових осіб емітента</w:t>
      </w:r>
    </w:p>
    <w:tbl>
      <w:tblPr>
        <w:tblW w:w="5316" w:type="pct"/>
        <w:tblCellSpacing w:w="15" w:type="dxa"/>
        <w:tblInd w:w="-231" w:type="dxa"/>
        <w:tblCellMar>
          <w:top w:w="15" w:type="dxa"/>
          <w:left w:w="15" w:type="dxa"/>
          <w:bottom w:w="15" w:type="dxa"/>
          <w:right w:w="15" w:type="dxa"/>
        </w:tblCellMar>
        <w:tblLook w:val="04A0" w:firstRow="1" w:lastRow="0" w:firstColumn="1" w:lastColumn="0" w:noHBand="0" w:noVBand="1"/>
      </w:tblPr>
      <w:tblGrid>
        <w:gridCol w:w="1607"/>
        <w:gridCol w:w="1884"/>
        <w:gridCol w:w="1200"/>
        <w:gridCol w:w="1453"/>
        <w:gridCol w:w="921"/>
        <w:gridCol w:w="1070"/>
        <w:gridCol w:w="787"/>
        <w:gridCol w:w="798"/>
        <w:gridCol w:w="1472"/>
        <w:gridCol w:w="1296"/>
        <w:gridCol w:w="1299"/>
        <w:gridCol w:w="1976"/>
      </w:tblGrid>
      <w:tr w:rsidR="00F1333F">
        <w:trPr>
          <w:tblCellSpacing w:w="15" w:type="dxa"/>
        </w:trPr>
        <w:tc>
          <w:tcPr>
            <w:tcW w:w="1562"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xml:space="preserve">Прізвище, ім'я та по батькові фізичної особи або повне найменування юридичної особи </w:t>
            </w:r>
          </w:p>
        </w:tc>
        <w:tc>
          <w:tcPr>
            <w:tcW w:w="1854"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Посада (кількість років на посаді)</w:t>
            </w:r>
          </w:p>
        </w:tc>
        <w:tc>
          <w:tcPr>
            <w:tcW w:w="1423"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Рік народження*</w:t>
            </w:r>
          </w:p>
        </w:tc>
        <w:tc>
          <w:tcPr>
            <w:tcW w:w="891"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Освіта*</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xml:space="preserve">Розмір частки (паю), що належить посадовій особі (грн) </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який становлять акції (частка, пай) у статутному (складеному, пайовому) капіталі емітента</w:t>
            </w:r>
          </w:p>
        </w:tc>
        <w:tc>
          <w:tcPr>
            <w:tcW w:w="1266"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голосів у вищому органі емітента за акціями (часткою, паєм), належними посадовій особі, у загальній кількості голосів</w:t>
            </w:r>
          </w:p>
        </w:tc>
        <w:tc>
          <w:tcPr>
            <w:tcW w:w="1269"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акцій емітента, які можуть бути придбані посадовою особою в результаті здійснення прав за належними їй опціонами емітента (шт.)**</w:t>
            </w:r>
          </w:p>
        </w:tc>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Посада в інших юридичних особах (із зазначенням їх повного найменування та ідентифікаційного коду за ЄДРПОУ)</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104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 прямому</w:t>
            </w:r>
            <w:r>
              <w:rPr>
                <w:rFonts w:ascii="Arial" w:eastAsia="Times New Roman" w:hAnsi="Arial" w:cs="Arial"/>
                <w:b/>
                <w:bCs/>
                <w:color w:val="000000"/>
                <w:sz w:val="19"/>
                <w:szCs w:val="19"/>
                <w:lang w:val="uk-UA"/>
              </w:rPr>
              <w:br/>
              <w:t>воло-дінні</w:t>
            </w:r>
          </w:p>
        </w:tc>
        <w:tc>
          <w:tcPr>
            <w:tcW w:w="757"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через</w:t>
            </w:r>
            <w:r>
              <w:rPr>
                <w:rFonts w:ascii="Arial" w:eastAsia="Times New Roman" w:hAnsi="Arial" w:cs="Arial"/>
                <w:b/>
                <w:bCs/>
                <w:color w:val="000000"/>
                <w:sz w:val="19"/>
                <w:szCs w:val="19"/>
                <w:lang w:val="uk-UA"/>
              </w:rPr>
              <w:br/>
              <w:t>афілі-йова-них</w:t>
            </w:r>
            <w:r>
              <w:rPr>
                <w:rFonts w:ascii="Arial" w:eastAsia="Times New Roman" w:hAnsi="Arial" w:cs="Arial"/>
                <w:b/>
                <w:bCs/>
                <w:color w:val="000000"/>
                <w:sz w:val="19"/>
                <w:szCs w:val="19"/>
                <w:lang w:val="uk-UA"/>
              </w:rPr>
              <w:br/>
              <w:t>осіб</w:t>
            </w:r>
          </w:p>
        </w:tc>
        <w:tc>
          <w:tcPr>
            <w:tcW w:w="768"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разом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Мамедов Сергій Геннадійович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Голова Правління АБ "Укргазбанк" (1 рік 4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Шлапак Станіслав Валерійович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Перший заступник Голови Правління - член Правління (2 роки 11 </w:t>
            </w:r>
            <w:r>
              <w:rPr>
                <w:rFonts w:ascii="Arial" w:eastAsia="Times New Roman" w:hAnsi="Arial" w:cs="Arial"/>
                <w:color w:val="000000"/>
                <w:sz w:val="19"/>
                <w:szCs w:val="19"/>
                <w:lang w:val="uk-UA"/>
              </w:rPr>
              <w:lastRenderedPageBreak/>
              <w:t>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1978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Лечехліб Руслана Василівна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Правління - член Правління (2 роки)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Дмітрієва Олена Михайлівна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Правління - член Правління (1 рік 3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Крихтін Олексій Євгенович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Правління - член Правління (1 рік 3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Шаповал Володимир Васильович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Правління - член правління (1 рік 3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Івченко Віктор Анатолійович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Голова Наглядової ради (2 роки 2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Державного агентства з питань науки, інновації та інформатизації України (код ЄДРПОУ 37200303)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Сисоєва Тетяна Петрівна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Голови Наглядової ради (1 рік 5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Директор департаменту фінансової політики Міністерства фінансів України (код ЄДРПОУ </w:t>
            </w:r>
            <w:r>
              <w:rPr>
                <w:rFonts w:ascii="Arial" w:eastAsia="Times New Roman" w:hAnsi="Arial" w:cs="Arial"/>
                <w:color w:val="000000"/>
                <w:sz w:val="19"/>
                <w:szCs w:val="19"/>
                <w:lang w:val="uk-UA"/>
              </w:rPr>
              <w:lastRenderedPageBreak/>
              <w:t>00013480)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Романов Іван Володимирович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Наглядової ради (1 рік 5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Тимчасово непрацюючий</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Страшний Андрій Іванович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Наглядової ради (1 рік 5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директора департаменту фінансової політики Міністерства фінансів України (код ЄДРПОУ 00013480)</w:t>
            </w:r>
          </w:p>
        </w:tc>
      </w:tr>
      <w:tr w:rsidR="00F1333F" w:rsidRPr="0068327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Гліманн Бернд Клаус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Наглядової ради (1 рік 5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Наглядової ради ПрАТ "Український фондовий холдинг" (JSC "Ukraine Securities Holdings")</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Матузка Ярослав Васильович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Наглядової ради (2 роки 2 місяці)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Директор юридичного департаменту Міністерства фінансів України (код ЄДРПОУ 00013480)</w:t>
            </w:r>
          </w:p>
        </w:tc>
      </w:tr>
      <w:tr w:rsidR="00F1333F" w:rsidRPr="0068327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Глущенко Юлія Миколаївна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Голова Ревізійної комісії (1 рік 5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Начальник відділу аналітичної роботи та управління ризиками департаменту фінансової політики Міністерства фінансів України (код ЄДРПОУ 00013480)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Линник Вадим Валентинович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Ревізійної комісії (2 роки)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Заступник директора департаменту операційного аудиту Державної фінансової інспекції </w:t>
            </w:r>
            <w:r>
              <w:rPr>
                <w:rFonts w:ascii="Arial" w:eastAsia="Times New Roman" w:hAnsi="Arial" w:cs="Arial"/>
                <w:color w:val="000000"/>
                <w:sz w:val="19"/>
                <w:szCs w:val="19"/>
                <w:lang w:val="uk-UA"/>
              </w:rPr>
              <w:lastRenderedPageBreak/>
              <w:t>України (код ЄДРПОУ 37393358)</w:t>
            </w:r>
          </w:p>
        </w:tc>
      </w:tr>
      <w:tr w:rsidR="00F1333F" w:rsidRPr="0068327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Страхова Наталія Борисівна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 Ревізійної комісії (2 роки 10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Заступник директора департаменту фінансової політики - начальник відділу з питань банківських послуг та координації взаємодії з НБУ Міністерства фінансів України (код ЄДРПОУ 00013480)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Хрустальова Наталія Геннадіївна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Головний бухгалтер АБ "Укргазбанк" (3 роки 9 місяців)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Вища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0.000025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0.000025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bl>
    <w:p w:rsidR="00F1333F" w:rsidRDefault="000E012F">
      <w:pPr>
        <w:rPr>
          <w:rFonts w:eastAsia="Times New Roman"/>
          <w:color w:val="000000"/>
          <w:lang w:val="uk-UA"/>
        </w:rPr>
      </w:pPr>
      <w:r>
        <w:rPr>
          <w:rFonts w:eastAsia="Times New Roman"/>
          <w:color w:val="000000"/>
          <w:lang w:val="uk-UA"/>
        </w:rPr>
        <w:br w:type="page"/>
      </w:r>
    </w:p>
    <w:p w:rsidR="00F1333F" w:rsidRDefault="00F1333F">
      <w:pPr>
        <w:rPr>
          <w:rFonts w:eastAsia="Times New Roman"/>
          <w:color w:val="000000"/>
          <w:lang w:val="uk-UA"/>
        </w:rPr>
      </w:pPr>
    </w:p>
    <w:p w:rsidR="00F1333F" w:rsidRDefault="000E012F">
      <w:pPr>
        <w:divId w:val="1540430852"/>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Дані про участь посадових осіб емітента в дочірніх/залежних підприємствах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7"/>
        <w:gridCol w:w="2515"/>
        <w:gridCol w:w="1511"/>
        <w:gridCol w:w="2291"/>
        <w:gridCol w:w="1528"/>
        <w:gridCol w:w="1528"/>
        <w:gridCol w:w="1528"/>
        <w:gridCol w:w="1617"/>
      </w:tblGrid>
      <w:tr w:rsidR="00F1333F" w:rsidRPr="00683276">
        <w:trPr>
          <w:tblCellSpacing w:w="15" w:type="dxa"/>
        </w:trPr>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Прізвище, ім'я та по батькові фізичної особи або повне найменування юридичної особи</w:t>
            </w:r>
          </w:p>
        </w:tc>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Посада в емітента</w:t>
            </w:r>
          </w:p>
        </w:tc>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 дочірнього/</w:t>
            </w:r>
            <w:r>
              <w:rPr>
                <w:rFonts w:ascii="Arial" w:eastAsia="Times New Roman" w:hAnsi="Arial" w:cs="Arial"/>
                <w:b/>
                <w:bCs/>
                <w:color w:val="000000"/>
                <w:sz w:val="19"/>
                <w:szCs w:val="19"/>
                <w:lang w:val="uk-UA"/>
              </w:rPr>
              <w:br/>
              <w:t>залежного підприємства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Розмір частки (паю) посадової особи у статутному (складеному, пайовому) капіталі дочірнього/</w:t>
            </w:r>
            <w:r>
              <w:rPr>
                <w:rFonts w:ascii="Arial" w:eastAsia="Times New Roman" w:hAnsi="Arial" w:cs="Arial"/>
                <w:b/>
                <w:bCs/>
                <w:color w:val="000000"/>
                <w:sz w:val="19"/>
                <w:szCs w:val="19"/>
                <w:lang w:val="uk-UA"/>
              </w:rPr>
              <w:br/>
              <w:t>залежного підприємства емітента (грн)</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який становлять акції (частка, пай) посадової особи у статутному (складеному, пайовому) капіталі дочірнього/ залежного підприємства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голосів у вищому органі дочірнього/ залежного підприємства за акціями (часткою, паєм), що належать посадовій особі, у загальній кількості голосів</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акцій дочірнього/ залежного підприємства, які можуть бути придбані посадовою особою в результаті здійснення прав за належними їй опціонами дочірнього/ залежного підприємства*</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6.3. У зв’язку з відсутністю дочірніх/залежних підприємств емітента, інформація про участь посадових осіб емітента в дочірніх/залежних підприємствах - відсутня.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6.4. До суб'єктів підприємницької діяльності, в яких посадова особа емітента була засновником, учасником чи посадовою особою, процедури банкрутства - не застосовувались.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Члени Правління АБ «Укргазбанк» та головний бухгалтер АБ «Укргазбанк» не мають непогашеної судимості за злочини, вчинені з корисливих мотивів, чи злочини у сфері господарської, службової діяльності органів та посадових осіб, щодо членів Наглядової ради АБ «Укргазбанк» та членів Ревізійної комісії АБ «Укргазбанк» достовірною інформацією не володіємо.</w:t>
      </w:r>
    </w:p>
    <w:p w:rsidR="00F1333F" w:rsidRDefault="000E012F">
      <w:pPr>
        <w:pStyle w:val="pagebreak"/>
        <w:rPr>
          <w:color w:val="000000"/>
          <w:lang w:val="uk-UA"/>
        </w:rPr>
      </w:pPr>
      <w:r>
        <w:rPr>
          <w:color w:val="000000"/>
          <w:lang w:val="uk-UA"/>
        </w:rPr>
        <w:t> </w:t>
      </w:r>
    </w:p>
    <w:p w:rsidR="00F1333F" w:rsidRDefault="00F1333F">
      <w:pPr>
        <w:pageBreakBefore/>
        <w:spacing w:before="150" w:after="150"/>
        <w:jc w:val="center"/>
        <w:divId w:val="1530952265"/>
        <w:rPr>
          <w:rFonts w:ascii="Arial" w:eastAsia="Times New Roman" w:hAnsi="Arial" w:cs="Arial"/>
          <w:b/>
          <w:bCs/>
          <w:color w:val="000000"/>
          <w:lang w:val="uk-UA"/>
        </w:rPr>
        <w:sectPr w:rsidR="00F1333F">
          <w:pgSz w:w="16838" w:h="11906" w:orient="landscape"/>
          <w:pgMar w:top="1134" w:right="1134" w:bottom="851" w:left="1134" w:header="709" w:footer="709" w:gutter="0"/>
          <w:cols w:space="708"/>
          <w:docGrid w:linePitch="360"/>
        </w:sectPr>
      </w:pPr>
      <w:bookmarkStart w:id="9" w:name="p7"/>
      <w:bookmarkEnd w:id="9"/>
    </w:p>
    <w:p w:rsidR="00F1333F" w:rsidRDefault="000E012F">
      <w:pPr>
        <w:pageBreakBefore/>
        <w:jc w:val="center"/>
        <w:divId w:val="1530952265"/>
        <w:rPr>
          <w:rFonts w:ascii="Arial" w:eastAsia="Times New Roman" w:hAnsi="Arial" w:cs="Arial"/>
          <w:b/>
          <w:bCs/>
          <w:color w:val="000000"/>
          <w:lang w:val="uk-UA"/>
        </w:rPr>
      </w:pPr>
      <w:r>
        <w:rPr>
          <w:rFonts w:ascii="Arial" w:eastAsia="Times New Roman" w:hAnsi="Arial" w:cs="Arial"/>
          <w:b/>
          <w:bCs/>
          <w:color w:val="000000"/>
          <w:lang w:val="uk-UA"/>
        </w:rPr>
        <w:lastRenderedPageBreak/>
        <w:t>Розділ VІІ. Інформація про засновників, учасників (акціонерів) та власників істотної участі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7.1. Інформація про загальну кількість учасників емітента на кінець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Станом на кінець 3 кварталу 2012 року загальна кість акціонерів емітента складає 1 516 осіб. Загальна кількість акцій, що перебувають в обігу - 10 000 000 000 штук.</w:t>
      </w:r>
    </w:p>
    <w:p w:rsidR="00F1333F" w:rsidRDefault="000E012F">
      <w:pPr>
        <w:divId w:val="181937388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Власники істотної участі емітента станом на останнє число звітного періоду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7"/>
        <w:gridCol w:w="1884"/>
        <w:gridCol w:w="1282"/>
        <w:gridCol w:w="1516"/>
        <w:gridCol w:w="1282"/>
        <w:gridCol w:w="1472"/>
        <w:gridCol w:w="1147"/>
      </w:tblGrid>
      <w:tr w:rsidR="00F1333F">
        <w:trPr>
          <w:tblCellSpacing w:w="15" w:type="dxa"/>
        </w:trPr>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 юридичної особи - власника істотної участі або зазначення - "фізична особа"</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1500" w:type="pct"/>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Розмір частки (паю), що належить власнику істотної участі</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який становлять акції (частка, пай) у статутному (складеному, пайовому) капіталі емітента</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голосів у вищому органі емітента за акціями (часткою, паєм), що належать власнику істотної участі, у загальній кількості голосів</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 прямому</w:t>
            </w:r>
            <w:r>
              <w:rPr>
                <w:rFonts w:ascii="Arial" w:eastAsia="Times New Roman" w:hAnsi="Arial" w:cs="Arial"/>
                <w:b/>
                <w:bCs/>
                <w:color w:val="000000"/>
                <w:sz w:val="19"/>
                <w:szCs w:val="19"/>
                <w:lang w:val="uk-UA"/>
              </w:rPr>
              <w:br/>
              <w:t>володінні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через</w:t>
            </w:r>
            <w:r>
              <w:rPr>
                <w:rFonts w:ascii="Arial" w:eastAsia="Times New Roman" w:hAnsi="Arial" w:cs="Arial"/>
                <w:b/>
                <w:bCs/>
                <w:color w:val="000000"/>
                <w:sz w:val="19"/>
                <w:szCs w:val="19"/>
                <w:lang w:val="uk-UA"/>
              </w:rPr>
              <w:br/>
              <w:t>афілійованих</w:t>
            </w:r>
            <w:r>
              <w:rPr>
                <w:rFonts w:ascii="Arial" w:eastAsia="Times New Roman" w:hAnsi="Arial" w:cs="Arial"/>
                <w:b/>
                <w:bCs/>
                <w:color w:val="000000"/>
                <w:sz w:val="19"/>
                <w:szCs w:val="19"/>
                <w:lang w:val="uk-UA"/>
              </w:rPr>
              <w:br/>
              <w:t>осіб</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разом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Держава (Міністерство фінансів України)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00013480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9299981000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9299981000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93.0042</w:t>
            </w:r>
          </w:p>
        </w:tc>
      </w:tr>
    </w:tbl>
    <w:p w:rsidR="00F1333F" w:rsidRDefault="00F1333F">
      <w:pPr>
        <w:rPr>
          <w:rFonts w:eastAsia="Times New Roman"/>
          <w:color w:val="000000"/>
          <w:lang w:val="uk-UA"/>
        </w:rPr>
      </w:pP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Єдиним власником істотної участі в статутному капіталі емітента є держава в особі Міністерства фінансів України. </w:t>
      </w:r>
    </w:p>
    <w:p w:rsidR="00F1333F" w:rsidRDefault="000E012F">
      <w:pPr>
        <w:pStyle w:val="pagebreak"/>
        <w:rPr>
          <w:color w:val="000000"/>
          <w:lang w:val="uk-UA"/>
        </w:rPr>
      </w:pPr>
      <w:r>
        <w:rPr>
          <w:color w:val="000000"/>
          <w:lang w:val="uk-UA"/>
        </w:rPr>
        <w:t> </w:t>
      </w:r>
    </w:p>
    <w:p w:rsidR="00F1333F" w:rsidRDefault="000E012F">
      <w:pPr>
        <w:pageBreakBefore/>
        <w:jc w:val="center"/>
        <w:divId w:val="487480543"/>
        <w:rPr>
          <w:rFonts w:ascii="Arial" w:eastAsia="Times New Roman" w:hAnsi="Arial" w:cs="Arial"/>
          <w:b/>
          <w:bCs/>
          <w:color w:val="000000"/>
          <w:lang w:val="uk-UA"/>
        </w:rPr>
      </w:pPr>
      <w:bookmarkStart w:id="10" w:name="p8"/>
      <w:bookmarkEnd w:id="10"/>
      <w:r>
        <w:rPr>
          <w:rFonts w:ascii="Arial" w:eastAsia="Times New Roman" w:hAnsi="Arial" w:cs="Arial"/>
          <w:b/>
          <w:bCs/>
          <w:color w:val="000000"/>
          <w:lang w:val="uk-UA"/>
        </w:rPr>
        <w:lastRenderedPageBreak/>
        <w:t>Розділ VІІІ. Інформація про правочини з власниками істотної участі, членами наглядової ради або членами виконавчого органу, іншими афілійованими особами</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8.1. Протягом звітного періоду АБ «Укргазбанк» не укладав договори з власниками істотної участі в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Всі правочини, у разі їх укладення з власниками істотної участі, членами Спостережної ради або членами Правління, відповідають вимогам банківського законодавства щодо угод з інсайдерами Банку (Постанова НБУ №368).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АБ «Укргазбанк» укладено наступні правочини з афілійованими особами власника істотної участі (Міністерство фінансів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довгострокові вклади суб'єктів господарювання – 4 договори.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АБ «Укргазбанк» укладено наступні правочини з членами Наглядової ради та виконавчого органу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рахунки фізичних осіб з використанням платіжних карток по тарифному плану "Pro-запас" – 1 договір;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короткострокові вклади фізичних осіб – 2 договори;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довгострокові вклади фізичних осіб – 2 договори.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АБ «Укргазбанк» укладено наступні правочини з афілійованими особами відносно членів Наглядової ради та виконавчого органу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короткострокові вклади фізичних осіб – 2 договори;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рахунки фізичних осіб з використанням платіжних карток по тарифному плану "Pro-запас" – 1 договір.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8.2. Операції з афілійованими особами.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року операції з афілійованими особами представлена наступним чином: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Держава (Міністерство фінансів України, 00013480):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обсяг облігації внутрішньої державної позики (ОВДП) станом на кінець дня 30.09.2012 року складає 100,00% торгового портфелю цінних паперів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обсяг облігації внутрішньої державної позики (ОВДП) станом на кінець дня 30.09.2012 року складає 85,98% портфелю цінних паперів на продаж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Міністерство фінансів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сплатило купонного доходу за цими цінними паперами у сумі 192 381 759,32 грн., (за 9 місяців 2012р. – 435 944 734,87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здійснило часткове або повне погашення у сумі 63 850 100,00 грн., (за 9 місяців 2012р. – 815 508 800,00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Операції з цінними паперами оцінюються за справедливою вартістю.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операціями з афілійованими особами суми дебіторської та кредиторської заборгованості відсутні. </w:t>
      </w:r>
    </w:p>
    <w:p w:rsidR="00F1333F" w:rsidRDefault="000E012F">
      <w:pPr>
        <w:pStyle w:val="pagebreak"/>
        <w:rPr>
          <w:color w:val="000000"/>
          <w:lang w:val="uk-UA"/>
        </w:rPr>
      </w:pPr>
      <w:r>
        <w:rPr>
          <w:color w:val="000000"/>
          <w:lang w:val="uk-UA"/>
        </w:rPr>
        <w:t> </w:t>
      </w:r>
    </w:p>
    <w:p w:rsidR="00F1333F" w:rsidRDefault="000E012F">
      <w:pPr>
        <w:pageBreakBefore/>
        <w:jc w:val="center"/>
        <w:divId w:val="1794788179"/>
        <w:rPr>
          <w:rFonts w:ascii="Arial" w:eastAsia="Times New Roman" w:hAnsi="Arial" w:cs="Arial"/>
          <w:b/>
          <w:bCs/>
          <w:color w:val="000000"/>
          <w:lang w:val="uk-UA"/>
        </w:rPr>
      </w:pPr>
      <w:bookmarkStart w:id="11" w:name="p9"/>
      <w:bookmarkEnd w:id="11"/>
      <w:r>
        <w:rPr>
          <w:rFonts w:ascii="Arial" w:eastAsia="Times New Roman" w:hAnsi="Arial" w:cs="Arial"/>
          <w:b/>
          <w:bCs/>
          <w:color w:val="000000"/>
          <w:lang w:val="uk-UA"/>
        </w:rPr>
        <w:lastRenderedPageBreak/>
        <w:t>Розділ ІХ. Інформація про судові процеси, процедури досудового врегулювання спору, виплати штрафних санкцій</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9.1. Інформація про судові процеси, процедури досудового врегулювання спору (які включають вимоги на суму 10 або більше відсотків сумарних активів чи сумарного обсягу реалізації емітента, меншого з цих двох показників), у яких учасниками виступають емітент, його дочірні підприємства, відокремлені підрозділи, члени наглядової ради чи виконавчого органу, інші посадові особи емітента та які стосуються господарської або фінансової діяльності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01.10.2012 року відсутні судові процеси у яких учасником виступає емітент, відокремлені підрозділи, інші посадові особи, члени виконавчого органу, членів наглядової ради, та які включають вимоги на суму 10 або більше відсотків сумарних активів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Справ про банкрутство (незалежно від розміру вимог), стосовно емітента, протягом 3 кварталу 2012 року порушено не було.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01.10.2012 року відсутні судові процеси та процедури досудового врегулювання спору, у яких сторонами виступають, з одного боку, емітент, а з іншого боку - посадові особи, або дочірні підприємства, або афілійовані особи емітента, які переслідують у судовому спорі інтереси, протилежні інтересам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судових процесів, що завершились протягом 3 кварталу 2012 року складає 215 справ (судових процесів). Наслідки по судовим процесам для Емітента (банку): позитивні - 204 справи, негативні - 11 справ. Проте, жоден з цих позовів не включає вимоги на суму 10 або більше відсотків сумарних активів чи сумарного обсягу реалізації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9.2. Інформація про факти виплати емітентом, його відокремленими підрозділами, дочірніми підприємствами протягом звітного періоду штрафних санкцій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 кварталу 2012 року емітентом було оплачено штрафів на суму 4 155 (чотири тисячі сто п'ятдесят п'ять) грн. 99 коп., з яких: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до державного бюджету та інших державних фондів - 2 361,00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за господарською діяльністю банку - 60,84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за інші порушення допущені при перерахуванні коштів - 1 062,16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штрафи на користь клієнтам - 671,99 грн. </w:t>
      </w:r>
    </w:p>
    <w:p w:rsidR="00F1333F" w:rsidRDefault="000E012F">
      <w:pPr>
        <w:pStyle w:val="pagebreak"/>
        <w:rPr>
          <w:color w:val="000000"/>
          <w:lang w:val="uk-UA"/>
        </w:rPr>
      </w:pPr>
      <w:r>
        <w:rPr>
          <w:color w:val="000000"/>
          <w:lang w:val="uk-UA"/>
        </w:rPr>
        <w:t> </w:t>
      </w:r>
    </w:p>
    <w:p w:rsidR="00F1333F" w:rsidRDefault="000E012F">
      <w:pPr>
        <w:pageBreakBefore/>
        <w:jc w:val="center"/>
        <w:divId w:val="1372611877"/>
        <w:rPr>
          <w:rFonts w:ascii="Arial" w:eastAsia="Times New Roman" w:hAnsi="Arial" w:cs="Arial"/>
          <w:b/>
          <w:bCs/>
          <w:color w:val="000000"/>
          <w:lang w:val="uk-UA"/>
        </w:rPr>
      </w:pPr>
      <w:bookmarkStart w:id="12" w:name="p10"/>
      <w:bookmarkEnd w:id="12"/>
      <w:r>
        <w:rPr>
          <w:rFonts w:ascii="Arial" w:eastAsia="Times New Roman" w:hAnsi="Arial" w:cs="Arial"/>
          <w:b/>
          <w:bCs/>
          <w:color w:val="000000"/>
          <w:lang w:val="uk-UA"/>
        </w:rPr>
        <w:lastRenderedPageBreak/>
        <w:t>Розділ Х. Інформація про цінні папери емітента</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 Інформація про акції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Тип акцій – прості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 1,00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в обігу – 9 999 522 922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у процесі розміщення – 0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можуть бути розміщені в результаті конвертації розміщених цінних паперів, що конвертуються в акції, чи в результаті виконання обов'язків за опціонами емітента (за наявності) – 0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07.06.2011р., №304/1/11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Міжнародний ідентифікаційний номер – UA4000094866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зарахування акцій на рахунок емітента – 09.06.2011р.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Тип акцій – привілейовані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 1,00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в обігу – 477 078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у процесі розміщення – 0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можуть бути розміщені в результаті конвертації розміщених цінних паперів, що конвертуються в акції, чи в результаті виконання обов'язків за опціонами емітента (за наявності) – 0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28.10.2010р., №979/1/10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Міжнародний ідентифікаційний номер – UA4000094874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зарахування акцій на рахунок емітента – 23.12.2010р.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випущені одного класу.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Акціонери-власники привілейованих акцій мають право голосу на загальних зборах акціонерів Банку тільки у таких випадках: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припинення Банку, що передбачає конвертацію привілейованих акцій у привілейовані акції іншого класу, прості акції або інші цінні папери;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внесення змін до Статуту Банку, що передбачають обмеження прав акціонерів - власників привілейованих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внесення змін до Статуту Банку, що передбачають розміщення нового класу привілейованих акцій, власники яких матимуть перевагу щодо черговості отримання дивідендів чи виплат у разі ліквідації Банку,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 додатковій емісії акцій акціонери-власники привілейованих акцій не мають переважного права на придбання акцій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певного класу можуть бути конвертовані у привілейовані акції іншого класу або прості акції.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можуть бути конвертовані у прості іменні акції АБ «Укргазбанк» на таких умовах: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Рішення про розміщення додаткових простих акцій, у які конвертуються привілейовані акції, приймаються загальними зборами акціонерів АБ «Укргазбанк» більш як трьома чвертями голосів акціонерів від загальної кількості випущених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Одна розміщена привілейована акція конвертується в одну просту іменну акцію АБ «Укргазбанк». Номінальна вартість привілейованих акцій, які конвертуються у прості акції, </w:t>
      </w:r>
      <w:r>
        <w:rPr>
          <w:rFonts w:ascii="Arial" w:eastAsia="Times New Roman" w:hAnsi="Arial" w:cs="Arial"/>
          <w:color w:val="000000"/>
          <w:sz w:val="22"/>
          <w:szCs w:val="22"/>
          <w:lang w:val="uk-UA"/>
        </w:rPr>
        <w:lastRenderedPageBreak/>
        <w:t xml:space="preserve">дорівнює номінальній вартості простих акцій, у які вони конвертуються. Додаткові внески та інші платежі за прості акції, що розміщуються шляхом конвертації в них привілейованих акцій, а також пов’язані з такою конвертацією, не допускаються.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Розміщення простих акцій АБ «Укргазбанк» шляхом конвертації здійснюється в один день на основі відповідних записів на рахунку емітента в депозитарії цінних паперів внаслідок депонування глобального сертифікату випуску акцій та на рахунках власників акцій АБ «Укргазбанк» у зберігачів, що здійснюють облік права власності на цінні папери АБ «Укргазбанк» у депозитарній системі України. Розміщення простих акцій АБ «Укргазбанк» шляхом конвертації здійснюється серед усіх акціонерів – власників привілейованих акцій на основі переліку акціонерів, складеного на дату розміщення простих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Конвертовані привілейовані акції одночасно з їх конвертацією у прості акції анулюються.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Інші умови та порядок конвертації, не врегульовані Статутом АБ «Укргазбанк», визначаються на підставі рішення загальних зборів акціонерів АБ «Укргазбанк» про конвертацію привілейованих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Конвертація (обмін) привілейованих акцій у привілейовані акції іншого класу здійснюється: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 процесі консолідації всіх розміщених АБ «Укргазбанк» акцій, внаслідок чого дві або більше акцій конвертуються в одну нову акцію того самого типу і класу.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 процесі дроблення всіх розміщених АБ «Укргазбанк» акцій, внаслідок чого одна акція конвертується у дві або більше акцій того самого типу і класу.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Внаслідок злиття, приєднання та поділу (конвертуються в акції банку-правонаступника у разі розміщення ним привілейованих акцій для обміну на привілейовані акції АБ «Укргазбанк»), виділу.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Черговість виплати ліквідаційної вартості за певним класом привілейованих акцій, якщо статутом емітента передбачено привілейовані акції двох та більше класів, по кожному із яких визначена ліквідаційна вартість – привілейовані акції випущені одного класу.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Рішень щодо змін прав власників акцій протягом звітного періоду не приймалось.</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10.1.2. Інформація про акції додаткового випуску, які станом на кінець звітного періоду перебувають у процесі розміщення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Акції у процесі розміщення не перебувають.</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10.1.3. Інформація про додатковий випуск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Рішень про додатковий випуск акцій у 3 кварталі 2012 року не приймалось.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10.1.4. Інформація про анулювання, консолідацію або дроблення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Анулювання, консолідація або дроблення акцій протягом 3 кварталу 2012 року не здійснювались.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 . Інформація про емісійні цінні папери емітента (окрім акцій):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10.2.1. Інформаці про всі попередні випуски емісійних цінних паперів емітента.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Перелік попередніх випусків емісійних цінних паперів (окрім акцій), які знаходяться в обігу: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Випуск відсоткових забезпечених облігацій серії «Е» (100 000 штук, номінал – 1 000,00 грн.) зареєстрований ДКЦПФР 30.08.2007р. №521/2/07.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Перелік попередніх випусків емісійних цінних паперів (окрім акцій), реєстрацію яких скасовано: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Випуск звичайних іпотечних облігацій серії «В» (50 000 штук, номінал – 1 000,00 грн.) зареєстрований ДКЦПФР 23.01.2007р. № 1/4/07.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Випуск процентних облігацій з додатковим забезпеченням серії «А» (100 000 штук, номінал – 1 000,00 грн.) зареєстрований ДКЦПФР 04.07.2006р. №388/2/06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Випуск процентних забезпечених облігацій серії «С» (300 000 штук, номінал – 1 000,00 грн.) зареєстрований ДКЦПФР 30.07.2007р. №402/2/07.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4. Випуск відсоткових забезпечених облігацій серії «D» (100 000 штук, номінал – 1 000,00 грн.) зареєстрований ДКЦПФР 30.08.2007р. №520/2/07. Дата закінчення обігу облігацій серії «D» - 17.09.2012 (включно); банком подано документи до НКЦПФР на скасування реєстрації випуску облігацій. Прийняття рішення НКЦПФР про скасування реєстрації випуску облігацій серії «D» очікується до кінця жовтня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Емісійні цінні папери (окрім акцій), зобов'язання за якими не виконані або виконані неналежним чином,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ЦІННІ ПАПЕРИ, ЯКІ ЗНАХОДЯТЬСЯ В ОБІГУ: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Вид - відсоткові забезпечені облігації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бездокументрана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серія 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цінного паперу - публічне розміщення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- 30.08.2007р.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Номер свідоцтва про реєстрацію випуску - №521/2/07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- 100 000 шт.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- 1 000,00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- 100 000 000,00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Права, закріплені за цінним папером: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отримувати відсоткові доходи за облігаціями та номінальну вартість облігацій у встановлені цим проспектом емісії терміни;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подавати емітенту облігації для обов’язкового викупу у терміни та в порядку, визначеному у цьому проспекті емісії;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купувати та продавати облігації на вторинному ринку;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здійснювати інші операції з облігаціями, що не суперечать чинному законодавству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Рівень рейтингової оцінки цінних паперів - Національним рейтинговим агентством ТОВ «Кредит-Рейтинг» 16 серпня 2007 року було визначено кредитний рейтинг ua A. Рейтинг оновлено станом на 27.10.2011р. – uaBBB (стабільний)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та умови погашення цінних паперів - дата погашення 18.12.2012р.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відсоткового доходу, порядок та умови його виплати - діючий розмір процентної ставки - 16% річних.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Вид наданого забезпечення: АБ «Укргазбанк» уклав із Закритим акціонерним товариством «Страховою компанією «Українська страхова група» (код за ЄДРПОУ 30859524; 03038, м.Київ, вул.Івана Федорова, 32-А; не є афілійованою особою АБ «Укргазбанк») договір №75-0101-0015 від 27 липня 2007 р. добровільного страхування відповідальності перед третіми особами – на страхування ризиків непогашення емітентом основної суми боргу та невиплати доходу за облігаціями на загальну суму 329 640 000,00 грн., при цьому гранична сума відповідальності за виплатою доходу в розрахунку на одну облігацію – 648,20 грн. Якщо нова процентна ставка доходу за облігаціями перевищуватиме 13% річних, у разі настання страхового випадку страхове відшкодування буде покривати номінальну вартість і частину процентного доходу – 648,20 грн. за одну облігацію. Цей Договір укладено на користь власників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щодо конвертації цінних паперів - обмін облігацій на акції не передбачено.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ТА УМОВИ ПОГАШЕННЯ ЦІННИХ ПАПЕРІВ ВИПУСКУ: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Відсоткові забезпечені облігації серії «Е»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Адреси місць, дата погашення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Погашення облігацій здійснюється емітентом за наступною адресою: 03087, м.Київ, вул. Єреванська, 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здійснює погашення облігацій на підставі зведеного облікового реєстру власників облігацій, складеного на кінець робочого дня, що передує даті погашення, який надається на дату такої виплати депозитарієм ПрАТ «ВДЦП».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погашення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Серія «E» – 18 грудня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Погашення облігацій здійснюється емітентом у національній валюті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Погашення облігацій емітентом: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дату погашення облігацій емітент отримує в депозитарії ПрАТ «ВДЦП» зведений обліковий реєстр власників облігацій, складений на кінець робочого дня, що передує даті погашення облігацій. На підставі зведеного облікового реєстру емітент розраховує суми до погашення для кожного власника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Для пред’явлення облігацій до погашення власники облігацій перераховують належні їм облігації з особистих рахунків у цінних паперах у зберігачів на рахунок емітента в депозитарії ПрАТ «ВДЦП» до 13:00 години дати погашення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дата погашення припадає на неробочий (вихідний) день, встановлений чинним законодавством України, погашення здійснюється на наступний за неробочим (вихідним) робочий день. Відсотки на суму погашення за облігаціями за вказані неробочі (вихідні) дні не нараховуються та не виплачуються.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перераховує власникам облігацій суму погашення на їх поточні рахунки згідно з вимогами діючого законодавства України, або через касу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Виплата коштів за облігаціями, власником яких є нерезидент, проводиться на рахунки його постійного представництва або резидента, який працює від імені, за рахунок та за дорученням такого нерезидента та несе відповідальність за повне та своєчасне нарахування та внесення до бюджету податків, утриманих при виплаті нерезиденту доходів. У разі якщо зведений обліковий реєстр не містить інформації щодо постійного представництва або уповноваженого резидента, то виплата коштів за облігаціями проводиться на користь нерезидента виключно після надання нерезидентом емітенту документів, що свідчать про набуття прав на облігації, та документів необхідних для утримання податків з отриманого нерезидентом доходу.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відсутності в зведеному обліковому реєстрі даних щодо грошових рахунків власника облігацій або якщо цей реєстр містить помилкові банківські реквізити власника облігацій, належна сума депонується на рахунку в АБ «Укргазбанк» до особистого звернення власників. Відсотки по депонованим сумам за час, що минув з дати їх виплати емітентом, не нараховуються та не виплачуються.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заяві власника до емітента про отримання депонованих коштів повинно бути зазначено реквізити поточного рахунку, на який має бути перераховано кошти, назву власника – юридичної особи (прізвище, ім’я, по батькові фізичної особи (повністю), прізвище, ім’я, по батькові (повністю) уповноваженої особи та вказівку на документ, що підтверджує повноваження особи надавати таку заяву (Статут підприємства, довіреність тощо), адресу та телефон власника, підпис власника або уповноваженої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Можливість дострокового погашення емітентом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викупу всієї серії облігацій емітент може прийняти рішення про дострокове погашення облігацій відповідної серії.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Дії, які проводяться у разі несвоєчасного подання облігацій для погашення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якщо власник облігацій не перерахував на дату погашення належні йому облігації зі свого особистого рахунку у цінних паперах на рахунок емітента в депозитарії ПрАТ «ВДЦП», належні кошти депонуються на відповідному рахунку емітента до особистого звернення власників. Відсотки по депонованим коштам не нараховуються та не виплачуються.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заяві власника до емітента про отримання депонованих коштів повинно бути зазначено реквізити поточного рахунку, на який має бути перераховано кошти, назву власника – юридичної особи (прізвище, ім’я, по батькові фізичної особи (повністю), прізвище, ім’я, по батькові (повністю) уповноваженої особи та вказівку на документ, що підтверджує повноваження особи надавати таку заяву (Статут підприємства, довіреність тощо), адресу та телефон власника, підпис власника або уповноваженої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ВІДСОТКОВОГО ДОХОДУ, ПОРЯДОК ТА УМОВИ ЙОГО ВИПЛАТИ: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Відсоткові забезпечені облігації серій «Е»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Процентні періоди та виплати процентів на 1 облігацію серії «Е»: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Процентних періодів – 20, тривалістю 91 день. Початок першого процентного періоду – 25.12.2007 р., початок двадцятого процентного періоду – 18.09.2012 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перших чотирьох процентних періодів процентна ставка для виплати процентного доходу складала 13,00% річних, сума процентної виплати на одну облігацію – 32,41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процентних періодів з п’ятого до двадцятого процентна ставка для виплати процентного доходу складає 16,00% річних, сума процентної виплати на одну облігацію – 39,89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Адреси місць виплати доходу за облігаціями: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Виплата відсоткових доходів за облігаціями здійснюється емітентом у національній валюті України за наступною адресою: 03087, м. Київ, вул. Єреванська, 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здійснює виплату відсоткових доходів власникам облігацій на підставі зведеного облікового реєстру власників облігацій, складеного на кінець робочого дня, що передує даті такої виплати, який надається на дату такої виплати депозитарієм ПрАТ «ВДЦП».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виплати відсоткового доходу: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дату виплати відсоткового доходу за облігаціями емітент отримує в депозитарії ПрАТ «ВДЦП» зведений обліковий реєстр власників облігацій, складений на кінець дня, що передує даті виплати відсоткового доходу. На підставі зведеного облікового реєстру емітент розраховує суми відсоткового доходу для кожного власника облігацій та на дату виплати відсоткового доходу перераховує власникам облігацій належний їм відсотковий дохід на їх поточні рахунки згідно з вимогами діючого законодавства України, або через касу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дата виплати відсоткового доходу припадає на неробочий (вихідний) день, встановлений чинним законодавством України, виплата відсоткового доходу здійснюється на наступний за неробочим (вихідним) робочий день. Відсотки на суму відсоткового доходу за облігаціями за вказані неробочі (вихідні) дні не нараховуються та не виплачуються.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відсутності в зведеному обліковому реєстрі власників облігацій даних щодо реквізитів поточних рахунків власників облігацій, або якщо цей реєстр містить помилкові банківські реквізити власників облігацій, належна сума депонується на рахунку в АБ «Укргазбанк» до особистого звернення власників облігацій. Відсотки по депонованим сумам за час, що минув з дати їх виплати Емітентом, не нараховуються та не виплачуються.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заяві власника облігацій до емітента про отримання депонованих коштів повинно бути зазначено реквізити поточного рахунку, на який має бути виплачено відсотковий дохід, назву власника – юридичної особи (прізвище, ім’я, по батькові фізичної особи (повністю), прізвище, ім’я, по батькові (повністю) уповноваженої особи та вказівку на документ, що підтверджує повноваження особи надавати таку заяву (Статут підприємства, довіреність тощо), адресу та телефон власника, підпис власника або уповноваженої особи.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Власники облігацій – фізичні особи повинні протягом 5 (п’яти) банківських днів до дати виплати відсоткового доходу надати емітенту дані про реєстрацію за місцем проживання та ідентифікаційний код.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Оподаткування доходів фізичних осіб здійснюється згідно з діючим законодавством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Виплата відсоткового доходу за облігаціями, власником яких є нерезидент, проводиться на рахунки його постійного представництва або резидента, який працює від імені, за рахунок та за дорученням такого нерезидента та несе відповідальність за повне та своєчасне нарахування та внесення до бюджету податків, утриманих при виплаті нерезиденту доходів. У разі якщо зведений обліковий реєстр не містить інформації щодо постійного представництва або уповноваженого резидента, то виплата доходу проводиться на користь нерезидента виключно після надання нерезидентом Емітенту документів, що свідчать про набуття прав на облігації, та документів, необхідних для утримання податків з отриманого нерезидентом доходу.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Реєстрація цінних паперів емітента у звітному періоді не скасовувалась.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Цінні папери, зобов'язання емітента за якими не виконане або виконане неналежним чином, відсутні.</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10.2.2. Інформацію про забезпечення за облігаціями кожного випуску.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Відсоткові забезпечені облігації серій «Е»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АБ «Укргазбанк» уклав із Закритим акціонерним товариством «Страховою компанією «Українська страхова група» (код за ЄДРПОУ 30859524; 03038, м.Київ, вул.Івана Федорова, 32-А; не є афілійованою особою АБ «Укргазбанк») договір №75-0101-0015 від 27 липня 2007 р. добровільного страхування відповідальності перед третіми особами – на страхування ризиків непогашення емітентом основної суми боргу та невиплати доходу за облігаціями на загальну суму 329 640 000,00 грн., при цьому гранична сума відповідальності за виплатою доходу в розрахунку на одну облігацію – 648,20 грн. Якщо нова процентна ставка доходу за облігаціями перевищуватиме 13% річних, у разі настання страхового випадку страхове відшкодування буде покривати номінальну вартість і частину процентного доходу – 648,20 грн. за одну облігацію. Цей Договір укладено на користь власників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10.2.3. Інформація про емісійні цінні папери (окрім акцій) емітента, які станом на кінець звітного періоду перебувають у процесі розміщення.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Емісійні цінні папери АБ «Укргазбанк» (окрім акцій) на кінець звітного періоду у процесі розміщення не перебувають.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10.2.4. Інформація про додатковий випуск емісійних цінних паперів (окрім акцій), якщо емітентом прийнято рішення у поточному році провести такий додатковий випуск.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Додатковий випуск емісійних цінних паперів (окрім акцій) у поточному році не здійснювався.</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10.3. Інформація про факти лістингу (делістингу) цінних паперів на організаторі торгівлі протягом звітного періоду, внутрішні та зовнішні ринки, на яких здійснюється торгівля цінними паперами.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вересня 2012 року Операційним управлінням ПАТ «Фондова біржа ПФТС» прийнято рішення № 1709/2012/1 про припинення торгівлі з наступним виключенням із Біржового списку цінних паперів АБ «Укргазбанк» (облігації серії D, код ПФТС – OUGZBD, ISIN — UA4000019384) у відповідності з пунктом п.5.22.9 Правил ПАТ «Фондова біржа ПФТС» (закінчення терміну обігу цінних паперів (фінансових інструментів). Рішення набуває чинності з 18.09.2012р.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делістингу – 18.09.2012р.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періоду на організованому ринку укладались угоди з цінними паперами: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акціями іменними простими: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Найнижча ціна – 0,01 грн. (06.08.2012, 07.08.2012, 10.08.2012, ПАТ «Українська біржа», категорія: позалістингові цінні папери).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Найвища ціна – 1,00 грн. (03.09.2012, 10.09.2012, 17.09.2012, 24.09.2012, ПАТ «Фондова біржа ПФТС», категорія: позалістингові цінні папери).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10.4. Інформація про ринкову капіталізацію емітента станом на день укладення останнього у звітному періоді біржового контракту на організаторі торгівлі.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звітному періоді біржові контракти на організаторах торгівлі укладались лише з акціями простими іменними. З акціями привілейованими іменними біржові контракти не укладались.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Днем укладення останнього у звітному періоді біржового контракту на організаторі торгівлі є 24.09.2012.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Організатор торгівлі: ПАТ «Українська біржа»;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укладення: 24.09.2012р.;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шт.: 14 000;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Ціна за шт., грн.: 1,00;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сума, грн.: 14 000,00.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10.5. Інформація про особу, яка веде облік права власності на цінні папери емітента у депозитарній системі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Облік права власності на цінні папери емітента у депозитарній системі України веде - ПАТ "Національний Депозитарій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Скорочене найменування - НДУ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Ідентифікаційний код за ЄДРПОУ - 30370711;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Дані свідоцтва про державну реєстрацію - Серія А01, №795373;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Дата проведення державної реєстрації - 17.05.1999р., номер запису -10741050016010655;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Дата зміни свідоцтва про державну реєстрацію - 04.05.2011р.;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Орган, що видав свідоцтво - Шевченківська районна у місті Києві державна адміністрація;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Місцезнаходження - вул. Б. Грінченка, буд. 3, м. Київ, 01001;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Телефони - (044) 279-65-40, 279-13-25, факс (044) 279-13-22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на провадження професійної діяльності на фондовому ринку - депозитарної діяльності , а саме депозитарної діяльності депозитарію цінних паперів - Серія АВ № 581322 на підставі рішення ДКЦПФР від 19.09.2006р. № 823, строк дії ліцензії - 19.09.2006р.-19.09.2016р.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Випуск переведено в бездокументарну форму глобальний сертифікат депоновано в НДУ.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10.6. Інформація про цінні папери емітента, які перебувають в обігу за межами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Цінні папери АБ «Укргазбанк» в обігу за межами України не перебувають. </w:t>
      </w:r>
    </w:p>
    <w:p w:rsidR="00F1333F" w:rsidRDefault="00F1333F">
      <w:pPr>
        <w:jc w:val="both"/>
        <w:rPr>
          <w:rFonts w:ascii="Arial" w:eastAsia="Times New Roman" w:hAnsi="Arial" w:cs="Arial"/>
          <w:color w:val="000000"/>
          <w:sz w:val="22"/>
          <w:szCs w:val="22"/>
          <w:lang w:val="uk-UA"/>
        </w:rPr>
      </w:pP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10.7. Інформація про інші цінні папери емітента (окрім емісійних цінних паперів).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Окрім емісійних цінних паперів АБ «Укргазбанк» в обігу перебувають депозитні сертифікати. </w:t>
      </w:r>
    </w:p>
    <w:p w:rsidR="00F1333F" w:rsidRDefault="000E012F">
      <w:pPr>
        <w:pStyle w:val="pagebreak"/>
        <w:rPr>
          <w:color w:val="000000"/>
          <w:lang w:val="uk-UA"/>
        </w:rPr>
      </w:pPr>
      <w:r>
        <w:rPr>
          <w:color w:val="000000"/>
          <w:lang w:val="uk-UA"/>
        </w:rPr>
        <w:t> </w:t>
      </w:r>
    </w:p>
    <w:p w:rsidR="00F1333F" w:rsidRDefault="000E012F">
      <w:pPr>
        <w:pageBreakBefore/>
        <w:jc w:val="center"/>
        <w:divId w:val="1400597530"/>
        <w:rPr>
          <w:rFonts w:ascii="Arial" w:eastAsia="Times New Roman" w:hAnsi="Arial" w:cs="Arial"/>
          <w:b/>
          <w:bCs/>
          <w:color w:val="000000"/>
          <w:lang w:val="uk-UA"/>
        </w:rPr>
      </w:pPr>
      <w:bookmarkStart w:id="13" w:name="p11"/>
      <w:bookmarkEnd w:id="13"/>
      <w:r>
        <w:rPr>
          <w:rFonts w:ascii="Arial" w:eastAsia="Times New Roman" w:hAnsi="Arial" w:cs="Arial"/>
          <w:b/>
          <w:bCs/>
          <w:color w:val="000000"/>
          <w:lang w:val="uk-UA"/>
        </w:rPr>
        <w:lastRenderedPageBreak/>
        <w:t>Розділ ХІ. Фінансова звітність емітента</w:t>
      </w:r>
    </w:p>
    <w:p w:rsidR="00F1333F" w:rsidRPr="00B80428" w:rsidRDefault="00B80428">
      <w:pPr>
        <w:rPr>
          <w:rFonts w:ascii="Arial" w:eastAsia="Times New Roman" w:hAnsi="Arial" w:cs="Arial"/>
          <w:sz w:val="22"/>
          <w:szCs w:val="22"/>
          <w:lang w:val="uk-UA"/>
        </w:rPr>
      </w:pPr>
      <w:hyperlink r:id="rId10" w:history="1">
        <w:r w:rsidR="000E012F" w:rsidRPr="00B80428">
          <w:rPr>
            <w:rStyle w:val="a3"/>
            <w:rFonts w:ascii="Arial" w:eastAsia="Times New Roman" w:hAnsi="Arial" w:cs="Arial"/>
            <w:sz w:val="22"/>
            <w:szCs w:val="22"/>
            <w:lang w:val="uk-UA"/>
          </w:rPr>
          <w:t>Фінансова звітність, підготовлена відповідно до міжнародних стандартів бухгалтерського обліку (формат pdf)</w:t>
        </w:r>
      </w:hyperlink>
      <w:bookmarkStart w:id="14" w:name="_GoBack"/>
      <w:bookmarkEnd w:id="14"/>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складає та оприлюднює квартальну фінансову звітність відповідно до Інструкції про порядок складання та оприлюднення фінансової звітності банків України, затвердженої Постановою Правління НБУ від 24.10.11 р. № 373 (із змінами та доповненнями), яка розроблена відповідно до Законів України "Про банки і банківську діяльність", "Про бухгалтерський облік та фінансову звітність в Україні", "Про Національний банк України" і ґрунтується на вимогах міжнародних стандартів фінансової звітності (далі - МСФЗ) щодо розкриття інформації у фінансовій звітності.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до складу проміжної фінансової звітності включає: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Звіт про фінансовий стан (Баланс);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Звіт про прибутки і збитки та інший сукупний дохід (Звіт про фінансові результати);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Окремі примітки: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Дивіденди;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Потенційні зобов'язання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Окремі показники діяльності банку. </w:t>
      </w:r>
    </w:p>
    <w:p w:rsidR="00F1333F" w:rsidRDefault="000E012F">
      <w:pPr>
        <w:pStyle w:val="pagebreak"/>
        <w:rPr>
          <w:color w:val="000000"/>
          <w:lang w:val="uk-UA"/>
        </w:rPr>
      </w:pPr>
      <w:r>
        <w:rPr>
          <w:color w:val="000000"/>
          <w:lang w:val="uk-UA"/>
        </w:rPr>
        <w:t> </w:t>
      </w:r>
    </w:p>
    <w:p w:rsidR="00F1333F" w:rsidRDefault="000E012F">
      <w:pPr>
        <w:pageBreakBefore/>
        <w:jc w:val="center"/>
        <w:divId w:val="1040087665"/>
        <w:rPr>
          <w:rFonts w:ascii="Arial" w:eastAsia="Times New Roman" w:hAnsi="Arial" w:cs="Arial"/>
          <w:b/>
          <w:bCs/>
          <w:color w:val="000000"/>
          <w:lang w:val="uk-UA"/>
        </w:rPr>
      </w:pPr>
      <w:bookmarkStart w:id="15" w:name="p12"/>
      <w:bookmarkEnd w:id="15"/>
      <w:r>
        <w:rPr>
          <w:rFonts w:ascii="Arial" w:eastAsia="Times New Roman" w:hAnsi="Arial" w:cs="Arial"/>
          <w:b/>
          <w:bCs/>
          <w:color w:val="000000"/>
          <w:lang w:val="uk-UA"/>
        </w:rPr>
        <w:lastRenderedPageBreak/>
        <w:t>Розділ ХIІ. Висновок щодо операційної та фінансової діяльності емітента</w:t>
      </w:r>
    </w:p>
    <w:p w:rsidR="00F1333F" w:rsidRDefault="000E012F">
      <w:pPr>
        <w:jc w:val="both"/>
        <w:rPr>
          <w:rFonts w:ascii="Arial" w:eastAsia="Times New Roman" w:hAnsi="Arial" w:cs="Arial"/>
          <w:b/>
          <w:bCs/>
          <w:i/>
          <w:iCs/>
          <w:color w:val="000000"/>
          <w:sz w:val="20"/>
          <w:szCs w:val="20"/>
          <w:lang w:val="uk-UA"/>
        </w:rPr>
      </w:pPr>
      <w:r>
        <w:rPr>
          <w:rFonts w:ascii="Arial" w:eastAsia="Times New Roman" w:hAnsi="Arial" w:cs="Arial"/>
          <w:b/>
          <w:bCs/>
          <w:i/>
          <w:iCs/>
          <w:color w:val="000000"/>
          <w:sz w:val="20"/>
          <w:szCs w:val="20"/>
          <w:lang w:val="uk-UA"/>
        </w:rPr>
        <w:t xml:space="preserve">      </w:t>
      </w:r>
    </w:p>
    <w:p w:rsidR="00F1333F" w:rsidRDefault="000E012F">
      <w:pPr>
        <w:jc w:val="both"/>
        <w:rPr>
          <w:rFonts w:ascii="Arial" w:eastAsia="Times New Roman" w:hAnsi="Arial" w:cs="Arial"/>
          <w:b/>
          <w:bCs/>
          <w:i/>
          <w:iCs/>
          <w:color w:val="000000"/>
          <w:sz w:val="22"/>
          <w:szCs w:val="22"/>
          <w:lang w:val="uk-UA"/>
        </w:rPr>
      </w:pPr>
      <w:r>
        <w:rPr>
          <w:rFonts w:ascii="Arial" w:eastAsia="Times New Roman" w:hAnsi="Arial" w:cs="Arial"/>
          <w:b/>
          <w:bCs/>
          <w:i/>
          <w:iCs/>
          <w:color w:val="000000"/>
          <w:sz w:val="22"/>
          <w:szCs w:val="22"/>
          <w:lang w:val="uk-UA"/>
        </w:rPr>
        <w:t>Цей розділ містить оцінки і прогнози уповноважених органів емітента щодо майбутніх подій та/або дій, перспектив розвитку галузі економіки, в якій емітент здійснює основну діяльність, і результатів діяльності емітента, у тому числі планів емітента, ймовірності настання певних подій чи вчинення певних дій. Інвестори не повинні повністю покладатися на оцінки і прогнози органів емітента, оскільки фактичні результати діяльності емітента в майбутньому можуть відрізнятися від прогнозованих результатів з багатьох причин.</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 Інформація про основні зміни у фінансово-господарській діяльності емітента протягом звітного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3 кварталі 2012 року банк отримав 108,3 млн. грн. чистого прибутку, с початку року 290,8 млн. грн. (+ 3 890,3 млн. грн. до відповідного періоду 2011 року, + 71,1 млн. грн. до планового показника за бюджетом банку на відповідний період). Банк планує отримати 46,4 млн. грн. чистого прибутку у 4 кварталі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 Інформація про витрати, які були понесені емітентом за звітний період наростаючим підсумком з початку звітного року з метою покращення майнового стану та результатів господарської діяльності, розвитку виробництва, у тому числі капітальні витрати на такі цілі, із зазначенням джерел їх покриття.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3 квартал 2012 року сума витрат для забезпечення покращення майнового стану (технічне обслуговування та поточний ремонт основних засобів) склала 2,7 млн. грн. (за 9 місяців 2012 – 8,2 млн. грн.), сума капітальних витрат на придбання основних засобів та нематеріальних активів склала за 3 квартал 2012 року 9,4 млн. грн.(за 9 місяців 2012 – 18,4 млн.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12.4. Інформація про будь-які відомі тенденції, події або невизначеності, які можуть мати вплив на господарську діяльність та фінансовий стан емітента в поточному році.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очікує, що наявні тенденції та невизначеності в економіці України та банківському бізнесі не матимуть суттєвого впливу на його фінансовий стан в поточному році.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прогнозує відсутність факторів, які можуть суттєво негативно вплинути на можливість отримання Банком позитивного результату, та очікує виконання запланованих показників. </w:t>
      </w:r>
    </w:p>
    <w:p w:rsidR="00F1333F" w:rsidRDefault="000E012F">
      <w:pPr>
        <w:pStyle w:val="pagebreak"/>
        <w:rPr>
          <w:color w:val="000000"/>
          <w:lang w:val="uk-UA"/>
        </w:rPr>
      </w:pPr>
      <w:r>
        <w:rPr>
          <w:color w:val="000000"/>
          <w:lang w:val="uk-UA"/>
        </w:rPr>
        <w:t> </w:t>
      </w:r>
    </w:p>
    <w:p w:rsidR="00F1333F" w:rsidRDefault="000E012F">
      <w:pPr>
        <w:pageBreakBefore/>
        <w:jc w:val="center"/>
        <w:divId w:val="1604412075"/>
        <w:rPr>
          <w:rFonts w:ascii="Arial" w:eastAsia="Times New Roman" w:hAnsi="Arial" w:cs="Arial"/>
          <w:b/>
          <w:bCs/>
          <w:color w:val="000000"/>
          <w:lang w:val="uk-UA"/>
        </w:rPr>
      </w:pPr>
      <w:bookmarkStart w:id="16" w:name="p13"/>
      <w:bookmarkEnd w:id="16"/>
      <w:r>
        <w:rPr>
          <w:rFonts w:ascii="Arial" w:eastAsia="Times New Roman" w:hAnsi="Arial" w:cs="Arial"/>
          <w:b/>
          <w:bCs/>
          <w:color w:val="000000"/>
          <w:lang w:val="uk-UA"/>
        </w:rPr>
        <w:lastRenderedPageBreak/>
        <w:t>Інформація про осіб, що підписують документ</w:t>
      </w:r>
    </w:p>
    <w:p w:rsidR="00F1333F" w:rsidRDefault="000E012F">
      <w:pPr>
        <w:jc w:val="both"/>
        <w:divId w:val="129289997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 xml:space="preserve">      </w:t>
      </w:r>
    </w:p>
    <w:p w:rsidR="00F1333F" w:rsidRDefault="000E012F">
      <w:pPr>
        <w:jc w:val="center"/>
        <w:divId w:val="1292899973"/>
        <w:rPr>
          <w:rFonts w:ascii="Arial" w:eastAsia="Times New Roman" w:hAnsi="Arial" w:cs="Arial"/>
          <w:b/>
          <w:bCs/>
          <w:color w:val="000000"/>
          <w:lang w:val="uk-UA"/>
        </w:rPr>
      </w:pPr>
      <w:r>
        <w:rPr>
          <w:rFonts w:ascii="Arial" w:eastAsia="Times New Roman" w:hAnsi="Arial" w:cs="Arial"/>
          <w:b/>
          <w:bCs/>
          <w:color w:val="000000"/>
          <w:lang w:val="uk-UA"/>
        </w:rPr>
        <w:t>Зазначені нижче особи підтверджують достовірність відомостей, що містяться у квартальній інформації.</w:t>
      </w:r>
    </w:p>
    <w:tbl>
      <w:tblPr>
        <w:tblW w:w="5219" w:type="pct"/>
        <w:tblCellSpacing w:w="15" w:type="dxa"/>
        <w:tblCellMar>
          <w:top w:w="15" w:type="dxa"/>
          <w:left w:w="15" w:type="dxa"/>
          <w:bottom w:w="15" w:type="dxa"/>
          <w:right w:w="15" w:type="dxa"/>
        </w:tblCellMar>
        <w:tblLook w:val="04A0" w:firstRow="1" w:lastRow="0" w:firstColumn="1" w:lastColumn="0" w:noHBand="0" w:noVBand="1"/>
      </w:tblPr>
      <w:tblGrid>
        <w:gridCol w:w="6849"/>
        <w:gridCol w:w="3600"/>
      </w:tblGrid>
      <w:tr w:rsidR="00F1333F">
        <w:trPr>
          <w:tblCellSpacing w:w="15" w:type="dxa"/>
        </w:trPr>
        <w:tc>
          <w:tcPr>
            <w:tcW w:w="3256" w:type="pct"/>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Посада керівника емітента</w:t>
            </w:r>
          </w:p>
        </w:tc>
        <w:tc>
          <w:tcPr>
            <w:tcW w:w="1701" w:type="pct"/>
            <w:vAlign w:val="center"/>
            <w:hideMark/>
          </w:tcPr>
          <w:p w:rsidR="00F1333F" w:rsidRDefault="000E012F">
            <w:pPr>
              <w:rPr>
                <w:rFonts w:eastAsia="Times New Roman"/>
                <w:color w:val="000000"/>
                <w:lang w:val="uk-UA"/>
              </w:rPr>
            </w:pPr>
            <w:r>
              <w:rPr>
                <w:rFonts w:eastAsia="Times New Roman"/>
                <w:color w:val="000000"/>
                <w:lang w:val="uk-UA"/>
              </w:rPr>
              <w:t>Голова Правління</w:t>
            </w:r>
          </w:p>
        </w:tc>
      </w:tr>
      <w:tr w:rsidR="00F1333F">
        <w:trPr>
          <w:tblCellSpacing w:w="15" w:type="dxa"/>
        </w:trPr>
        <w:tc>
          <w:tcPr>
            <w:tcW w:w="3256" w:type="pct"/>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ім'я та по батькові керівника емітента</w:t>
            </w:r>
          </w:p>
        </w:tc>
        <w:tc>
          <w:tcPr>
            <w:tcW w:w="1701" w:type="pct"/>
            <w:vAlign w:val="center"/>
            <w:hideMark/>
          </w:tcPr>
          <w:p w:rsidR="00F1333F" w:rsidRDefault="000E012F">
            <w:pPr>
              <w:rPr>
                <w:rFonts w:eastAsia="Times New Roman"/>
                <w:color w:val="000000"/>
                <w:lang w:val="uk-UA"/>
              </w:rPr>
            </w:pPr>
            <w:r>
              <w:rPr>
                <w:rFonts w:eastAsia="Times New Roman"/>
                <w:color w:val="000000"/>
                <w:lang w:val="uk-UA"/>
              </w:rPr>
              <w:t>Мамедов Сергій Геннадійович</w:t>
            </w:r>
          </w:p>
        </w:tc>
      </w:tr>
      <w:tr w:rsidR="00F1333F">
        <w:trPr>
          <w:tblCellSpacing w:w="15" w:type="dxa"/>
        </w:trPr>
        <w:tc>
          <w:tcPr>
            <w:tcW w:w="3256" w:type="pct"/>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Посада головного бухгалтера емітента</w:t>
            </w:r>
          </w:p>
        </w:tc>
        <w:tc>
          <w:tcPr>
            <w:tcW w:w="1701" w:type="pct"/>
            <w:vAlign w:val="center"/>
            <w:hideMark/>
          </w:tcPr>
          <w:p w:rsidR="00F1333F" w:rsidRDefault="000E012F">
            <w:pPr>
              <w:rPr>
                <w:rFonts w:eastAsia="Times New Roman"/>
                <w:color w:val="000000"/>
                <w:lang w:val="uk-UA"/>
              </w:rPr>
            </w:pPr>
            <w:r>
              <w:rPr>
                <w:rFonts w:eastAsia="Times New Roman"/>
                <w:color w:val="000000"/>
                <w:lang w:val="uk-UA"/>
              </w:rPr>
              <w:t>Головний бухгалтер</w:t>
            </w:r>
          </w:p>
        </w:tc>
      </w:tr>
      <w:tr w:rsidR="00F1333F">
        <w:trPr>
          <w:tblCellSpacing w:w="15" w:type="dxa"/>
        </w:trPr>
        <w:tc>
          <w:tcPr>
            <w:tcW w:w="3256" w:type="pct"/>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ім'я та по батькові головного бухгалтера емітента</w:t>
            </w:r>
          </w:p>
        </w:tc>
        <w:tc>
          <w:tcPr>
            <w:tcW w:w="1701" w:type="pct"/>
            <w:vAlign w:val="center"/>
            <w:hideMark/>
          </w:tcPr>
          <w:p w:rsidR="00F1333F" w:rsidRDefault="000E012F">
            <w:pPr>
              <w:rPr>
                <w:rFonts w:eastAsia="Times New Roman"/>
                <w:color w:val="000000"/>
                <w:lang w:val="uk-UA"/>
              </w:rPr>
            </w:pPr>
            <w:r>
              <w:rPr>
                <w:rFonts w:eastAsia="Times New Roman"/>
                <w:color w:val="000000"/>
                <w:lang w:val="uk-UA"/>
              </w:rPr>
              <w:t>Хрустальова Наталія Геннадіївна</w:t>
            </w:r>
          </w:p>
        </w:tc>
      </w:tr>
    </w:tbl>
    <w:p w:rsidR="00F1333F" w:rsidRDefault="00F1333F">
      <w:pPr>
        <w:rPr>
          <w:rFonts w:eastAsia="Times New Roman"/>
          <w:color w:val="000000"/>
          <w:lang w:val="uk-UA"/>
        </w:rPr>
      </w:pPr>
    </w:p>
    <w:p w:rsidR="00F1333F" w:rsidRDefault="000E012F">
      <w:pPr>
        <w:pageBreakBefore/>
        <w:jc w:val="center"/>
        <w:textAlignment w:val="center"/>
        <w:divId w:val="2023166535"/>
        <w:rPr>
          <w:rFonts w:ascii="Arial" w:eastAsia="Times New Roman" w:hAnsi="Arial" w:cs="Arial"/>
          <w:b/>
          <w:bCs/>
          <w:color w:val="000000"/>
          <w:lang w:val="uk-UA"/>
        </w:rPr>
      </w:pPr>
      <w:r>
        <w:rPr>
          <w:rFonts w:ascii="Arial" w:eastAsia="Times New Roman" w:hAnsi="Arial" w:cs="Arial"/>
          <w:b/>
          <w:bCs/>
          <w:color w:val="000000"/>
          <w:lang w:val="uk-UA"/>
        </w:rPr>
        <w:lastRenderedPageBreak/>
        <w:t>Узагальнені дані квартальної інформації</w:t>
      </w:r>
    </w:p>
    <w:p w:rsidR="00F1333F" w:rsidRDefault="000E012F">
      <w:pPr>
        <w:pStyle w:val="pagebreak"/>
        <w:rPr>
          <w:color w:val="000000"/>
          <w:lang w:val="uk-UA"/>
        </w:rPr>
      </w:pPr>
      <w:r>
        <w:rPr>
          <w:color w:val="000000"/>
          <w:lang w:val="uk-UA"/>
        </w:rPr>
        <w:t> </w:t>
      </w:r>
    </w:p>
    <w:p w:rsidR="00F1333F" w:rsidRDefault="000E012F">
      <w:pPr>
        <w:pageBreakBefore/>
        <w:jc w:val="center"/>
        <w:divId w:val="1300576623"/>
        <w:rPr>
          <w:rFonts w:ascii="Arial" w:eastAsia="Times New Roman" w:hAnsi="Arial" w:cs="Arial"/>
          <w:b/>
          <w:bCs/>
          <w:color w:val="000000"/>
          <w:lang w:val="uk-UA"/>
        </w:rPr>
      </w:pPr>
      <w:bookmarkStart w:id="17" w:name="pVisaPage"/>
      <w:bookmarkEnd w:id="17"/>
      <w:r>
        <w:rPr>
          <w:rFonts w:ascii="Arial" w:eastAsia="Times New Roman" w:hAnsi="Arial" w:cs="Arial"/>
          <w:b/>
          <w:bCs/>
          <w:color w:val="000000"/>
          <w:lang w:val="uk-UA"/>
        </w:rPr>
        <w:lastRenderedPageBreak/>
        <w:t>1. Основні відомості про емітента</w:t>
      </w:r>
    </w:p>
    <w:p w:rsidR="00F1333F" w:rsidRDefault="000E012F">
      <w:pPr>
        <w:jc w:val="center"/>
        <w:divId w:val="1673677927"/>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1.1. Ідентифікаційні реквізити, місцезнаходження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8"/>
        <w:gridCol w:w="6103"/>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 Ідентифікаційний код за ЄДРПОУ</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23697280</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 Повне найменування</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Публічне акціонерне товариство акціонерний банк "Укргазбанк"</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1.1.3. Скорочене найменування (за наявності)</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АБ "Укргазбанк"</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1.1.4. Організаційно-правова форма за КОПФГ</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Акціонерне товариство</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1.1.5. Поштовий індекс</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03087</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1.1.6. Область</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Київська</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1.1.7. Район</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Солом'янський</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1.1.8. Населений пункт</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м.Київ</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1.1.9. Вулиця</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 xml:space="preserve">Єреванська </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1.1.10. Будинок</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1.1.11. Корпус</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1.1.12. Офіс / квартира</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jc w:val="center"/>
        <w:divId w:val="48019866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1.2. Інформація про державну реєстрацію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2"/>
        <w:gridCol w:w="6529"/>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1.2.1. Номер свідоцтва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бланк серії А01 №374085, номер державної реєстрації №1 073 105 0038 000210</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1.2.2. Дата видачі свідоцтва</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12.06.2009</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1.2.3. Орган, що видав свідоцтво</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Солом'янська районна у місті Києві державна адміністрація</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1.2.4. Зареєстрований статутний капітал (грн)</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10000000000</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1.2.5. Сплачений статутний капітал (грн)</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10000000000</w:t>
            </w:r>
          </w:p>
        </w:tc>
      </w:tr>
    </w:tbl>
    <w:p w:rsidR="00F1333F" w:rsidRDefault="00F1333F">
      <w:pPr>
        <w:rPr>
          <w:rFonts w:eastAsia="Times New Roman"/>
          <w:color w:val="000000"/>
          <w:lang w:val="uk-UA"/>
        </w:rPr>
      </w:pPr>
    </w:p>
    <w:p w:rsidR="00F1333F" w:rsidRDefault="000E012F">
      <w:pPr>
        <w:jc w:val="center"/>
        <w:divId w:val="771780089"/>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1.3. Банки, що обслуговують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4"/>
        <w:gridCol w:w="1399"/>
        <w:gridCol w:w="2339"/>
        <w:gridCol w:w="1414"/>
      </w:tblGrid>
      <w:tr w:rsidR="00F1333F">
        <w:trPr>
          <w:tblCellSpacing w:w="15" w:type="dxa"/>
        </w:trPr>
        <w:tc>
          <w:tcPr>
            <w:tcW w:w="26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банку (філії, відділення банку)</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МФО банку</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Поточний рахунок</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Валюта</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Commerzbank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400886433200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Commerzbank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400886433201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Commerzbank AG Luxembourg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Commerzbank AG Luxembourg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XAU</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Commerzbank AG Luxembourg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XAG</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Deutsche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100947080800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Deutsche Bank Trust Compamy Americas</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04452135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 Morgan Chase Bank, New York</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899579957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XAG</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XPT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XPD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UniCredit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68611245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UniCredit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69109594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CHF</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DKK</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JPY</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CAD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"Експресс-банк"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322959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16003000763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30111978900000000086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30111840300000000086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30111810000000000086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"Таврика"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300788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160061011338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160040206301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160040206301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160040206301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160040206301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160020452100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160020452100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160020452100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PLN</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"Райффайзен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CHF</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JPY</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16002011718631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AUD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16007101169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16005580200000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16003580202000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16006580200300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16002580200100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ВАТ КБ "Іпобанк"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160040100002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"Газпромбанк"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30111810500000016426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КБ "Евротраст" (ЗАО)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30111810200000000097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"Собинбанк"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30111810200000105022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"Промсвязьбанк"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30111810250000259001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АКБ "Балтика"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30111810200000500603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Банк ВТБ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30111810355550000112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"ВіЕйБі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321537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1600210011293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325912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PLN</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"Перший українский міжнародний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"Перший українский міжнародний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"Перший українский міжнародний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"Сітібанк"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300584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16006400047006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"Укргазпромбанк"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320843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"Укргазпромбанк"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320843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"Українский професійний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"Українский професійний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1600184551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"Українский професійний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"Українский професійний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"Українский професійний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16009000064002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Фамільний"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334840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16004320478980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"Глобус"</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380526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1600500100033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16005320478001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16000320478501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XAU</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16000320478501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16005320478001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"Промінвестбанк"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160071012998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"Українский бізнес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334969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"Українский бізнес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334969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160047038840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"Приватбанк"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305299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16008003029015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ПуАТ "СЕБ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16006000016052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ПуАТ "СЕБ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16006000016052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bl>
    <w:p w:rsidR="00F1333F" w:rsidRDefault="00F1333F">
      <w:pPr>
        <w:rPr>
          <w:rFonts w:eastAsia="Times New Roman"/>
          <w:color w:val="000000"/>
          <w:lang w:val="uk-UA"/>
        </w:rPr>
      </w:pPr>
    </w:p>
    <w:p w:rsidR="00F1333F" w:rsidRDefault="000E012F">
      <w:pPr>
        <w:jc w:val="center"/>
        <w:divId w:val="27355612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1.4. Основні види діяльності</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1659"/>
      </w:tblGrid>
      <w:tr w:rsidR="00F1333F">
        <w:trPr>
          <w:tblCellSpacing w:w="15" w:type="dxa"/>
        </w:trPr>
        <w:tc>
          <w:tcPr>
            <w:tcW w:w="42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виду діяльності</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Код за КВЕД</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види грошового посередництва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64.19</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549801863"/>
        <w:rPr>
          <w:rFonts w:ascii="Arial" w:eastAsia="Times New Roman" w:hAnsi="Arial" w:cs="Arial"/>
          <w:b/>
          <w:bCs/>
          <w:color w:val="000000"/>
          <w:lang w:val="uk-UA"/>
        </w:rPr>
      </w:pPr>
      <w:bookmarkStart w:id="18" w:name="pgeneralshareholdersmeetinginfo"/>
      <w:bookmarkEnd w:id="18"/>
      <w:r>
        <w:rPr>
          <w:rFonts w:ascii="Arial" w:eastAsia="Times New Roman" w:hAnsi="Arial" w:cs="Arial"/>
          <w:b/>
          <w:bCs/>
          <w:color w:val="000000"/>
          <w:lang w:val="uk-UA"/>
        </w:rPr>
        <w:lastRenderedPageBreak/>
        <w:t>2. Інформація про загальні збори акціонерів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85"/>
        <w:gridCol w:w="1538"/>
        <w:gridCol w:w="1553"/>
      </w:tblGrid>
      <w:tr w:rsidR="00F1333F">
        <w:trPr>
          <w:tblCellSpacing w:w="15" w:type="dxa"/>
        </w:trPr>
        <w:tc>
          <w:tcPr>
            <w:tcW w:w="3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jc w:val="cente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Чергові</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Позачергові</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Дата проведення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Кворум зборів**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15"/>
        <w:gridCol w:w="96"/>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Поставити помітку 'x' у відповідній графі.</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У відсотках до загальної кількості голосів відповідно до статуту товариства.</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F1333F">
      <w:pPr>
        <w:pageBreakBefore/>
        <w:spacing w:before="150" w:after="150"/>
        <w:jc w:val="center"/>
        <w:divId w:val="522010650"/>
        <w:rPr>
          <w:rFonts w:ascii="Arial" w:eastAsia="Times New Roman" w:hAnsi="Arial" w:cs="Arial"/>
          <w:b/>
          <w:bCs/>
          <w:color w:val="000000"/>
          <w:lang w:val="uk-UA"/>
        </w:rPr>
        <w:sectPr w:rsidR="00F1333F">
          <w:pgSz w:w="11906" w:h="16838"/>
          <w:pgMar w:top="1134" w:right="851" w:bottom="1134" w:left="1134" w:header="340" w:footer="340" w:gutter="0"/>
          <w:cols w:space="708"/>
          <w:titlePg/>
          <w:docGrid w:linePitch="360"/>
        </w:sectPr>
      </w:pPr>
      <w:bookmarkStart w:id="19" w:name="pserviceprovidersinfo"/>
      <w:bookmarkEnd w:id="19"/>
    </w:p>
    <w:p w:rsidR="00F1333F" w:rsidRDefault="000E012F">
      <w:pPr>
        <w:pageBreakBefore/>
        <w:jc w:val="center"/>
        <w:divId w:val="522010650"/>
        <w:rPr>
          <w:rFonts w:ascii="Arial" w:eastAsia="Times New Roman" w:hAnsi="Arial" w:cs="Arial"/>
          <w:b/>
          <w:bCs/>
          <w:color w:val="000000"/>
          <w:lang w:val="uk-UA"/>
        </w:rPr>
      </w:pPr>
      <w:r>
        <w:rPr>
          <w:rFonts w:ascii="Arial" w:eastAsia="Times New Roman" w:hAnsi="Arial" w:cs="Arial"/>
          <w:b/>
          <w:bCs/>
          <w:color w:val="000000"/>
          <w:lang w:val="uk-UA"/>
        </w:rPr>
        <w:lastRenderedPageBreak/>
        <w:t>3. Інформація про юридичних осіб, послугами яких користується емітент*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9"/>
        <w:gridCol w:w="1883"/>
        <w:gridCol w:w="1089"/>
        <w:gridCol w:w="2629"/>
        <w:gridCol w:w="2523"/>
        <w:gridCol w:w="2138"/>
        <w:gridCol w:w="1241"/>
        <w:gridCol w:w="1273"/>
      </w:tblGrid>
      <w:tr w:rsidR="00F1333F">
        <w:trPr>
          <w:tblCellSpacing w:w="15" w:type="dxa"/>
        </w:trPr>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Організаційно-</w:t>
            </w:r>
            <w:r>
              <w:rPr>
                <w:rFonts w:ascii="Arial" w:eastAsia="Times New Roman" w:hAnsi="Arial" w:cs="Arial"/>
                <w:b/>
                <w:bCs/>
                <w:color w:val="000000"/>
                <w:sz w:val="19"/>
                <w:szCs w:val="19"/>
                <w:lang w:val="uk-UA"/>
              </w:rPr>
              <w:br/>
              <w:t>правова</w:t>
            </w:r>
            <w:r>
              <w:rPr>
                <w:rFonts w:ascii="Arial" w:eastAsia="Times New Roman" w:hAnsi="Arial" w:cs="Arial"/>
                <w:b/>
                <w:bCs/>
                <w:color w:val="000000"/>
                <w:sz w:val="19"/>
                <w:szCs w:val="19"/>
                <w:lang w:val="uk-UA"/>
              </w:rPr>
              <w:br/>
              <w:t>форма</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w:t>
            </w:r>
            <w:r>
              <w:rPr>
                <w:rFonts w:ascii="Arial" w:eastAsia="Times New Roman" w:hAnsi="Arial" w:cs="Arial"/>
                <w:b/>
                <w:bCs/>
                <w:color w:val="000000"/>
                <w:sz w:val="19"/>
                <w:szCs w:val="19"/>
                <w:lang w:val="uk-UA"/>
              </w:rPr>
              <w:br/>
              <w:t>фікацій-</w:t>
            </w:r>
            <w:r>
              <w:rPr>
                <w:rFonts w:ascii="Arial" w:eastAsia="Times New Roman" w:hAnsi="Arial" w:cs="Arial"/>
                <w:b/>
                <w:bCs/>
                <w:color w:val="000000"/>
                <w:sz w:val="19"/>
                <w:szCs w:val="19"/>
                <w:lang w:val="uk-UA"/>
              </w:rPr>
              <w:br/>
              <w:t>ний</w:t>
            </w:r>
            <w:r>
              <w:rPr>
                <w:rFonts w:ascii="Arial" w:eastAsia="Times New Roman" w:hAnsi="Arial" w:cs="Arial"/>
                <w:b/>
                <w:bCs/>
                <w:color w:val="000000"/>
                <w:sz w:val="19"/>
                <w:szCs w:val="19"/>
                <w:lang w:val="uk-UA"/>
              </w:rPr>
              <w:br/>
              <w:t>код за</w:t>
            </w:r>
            <w:r>
              <w:rPr>
                <w:rFonts w:ascii="Arial" w:eastAsia="Times New Roman" w:hAnsi="Arial" w:cs="Arial"/>
                <w:b/>
                <w:bCs/>
                <w:color w:val="000000"/>
                <w:sz w:val="19"/>
                <w:szCs w:val="19"/>
                <w:lang w:val="uk-UA"/>
              </w:rPr>
              <w:br/>
              <w:t>ЄДРПОУ</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Місцезнаходження, міжміський код, телефон, факс</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w:t>
            </w:r>
            <w:r>
              <w:rPr>
                <w:rFonts w:ascii="Arial" w:eastAsia="Times New Roman" w:hAnsi="Arial" w:cs="Arial"/>
                <w:b/>
                <w:bCs/>
                <w:color w:val="000000"/>
                <w:sz w:val="19"/>
                <w:szCs w:val="19"/>
                <w:lang w:val="uk-UA"/>
              </w:rPr>
              <w:br/>
              <w:t>діяльності</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Назва державного органу, що видав ліцензію або інший документ на цей вид діяльності</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видачі</w:t>
            </w:r>
            <w:r>
              <w:rPr>
                <w:rFonts w:ascii="Arial" w:eastAsia="Times New Roman" w:hAnsi="Arial" w:cs="Arial"/>
                <w:b/>
                <w:bCs/>
                <w:color w:val="000000"/>
                <w:sz w:val="19"/>
                <w:szCs w:val="19"/>
                <w:lang w:val="uk-UA"/>
              </w:rPr>
              <w:br/>
              <w:t>ліцензії</w:t>
            </w:r>
            <w:r>
              <w:rPr>
                <w:rFonts w:ascii="Arial" w:eastAsia="Times New Roman" w:hAnsi="Arial" w:cs="Arial"/>
                <w:b/>
                <w:bCs/>
                <w:color w:val="000000"/>
                <w:sz w:val="19"/>
                <w:szCs w:val="19"/>
                <w:lang w:val="uk-UA"/>
              </w:rPr>
              <w:br/>
              <w:t>або іншого</w:t>
            </w:r>
            <w:r>
              <w:rPr>
                <w:rFonts w:ascii="Arial" w:eastAsia="Times New Roman" w:hAnsi="Arial" w:cs="Arial"/>
                <w:b/>
                <w:bCs/>
                <w:color w:val="000000"/>
                <w:sz w:val="19"/>
                <w:szCs w:val="19"/>
                <w:lang w:val="uk-UA"/>
              </w:rPr>
              <w:br/>
              <w:t>документа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ліцензії</w:t>
            </w:r>
            <w:r>
              <w:rPr>
                <w:rFonts w:ascii="Arial" w:eastAsia="Times New Roman" w:hAnsi="Arial" w:cs="Arial"/>
                <w:b/>
                <w:bCs/>
                <w:color w:val="000000"/>
                <w:sz w:val="19"/>
                <w:szCs w:val="19"/>
                <w:lang w:val="uk-UA"/>
              </w:rPr>
              <w:br/>
              <w:t>або іншого</w:t>
            </w:r>
            <w:r>
              <w:rPr>
                <w:rFonts w:ascii="Arial" w:eastAsia="Times New Roman" w:hAnsi="Arial" w:cs="Arial"/>
                <w:b/>
                <w:bCs/>
                <w:color w:val="000000"/>
                <w:sz w:val="19"/>
                <w:szCs w:val="19"/>
                <w:lang w:val="uk-UA"/>
              </w:rPr>
              <w:br/>
              <w:t>документа</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ПрАТ "Всеукраїнський депозитарій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35917889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04107, м. Київ, вул. Тропініна, 7-Г, (044) 585-42-40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Професійна діяльність на фондовому ринку, а самедепозитарна діяльність депозитарію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27.05.2009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№470611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"Національний депозитарій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30370711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01001, м. Київ, вул. Б.Грінченка,буд. 3, (044) 279-65-40, (044) 279-13-22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Професійна діяльність на фондовому ринку, а самедепозитарна діяльність депозитарію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19.09.2006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№581322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"Фондова Біржа "ПФТС"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21672206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03150, м. Київ, вул. Червоноармійська,буд. 72, оф.6, 96 (044) 277-50-00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Організатор торгівлі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10.06.2011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№581354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ПрАТ "Українська міжбанківська валютна біржа"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22877057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04070, м. Київ, вул. Межигірська, буд. 1 (044) 461-54-30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Організатор торгівлі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02.11.2011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№493349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"Українська Біржа"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36184092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01004, м. Київ, вул. Шовковична, буд. 42-44, (044) 495-74-74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Організатор торгівлі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16.12.2008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№4400440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"Фондова Біржа Перспектива"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33718227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49000, м. Дніпропетровськ, вул.Леніна, 30 (0562) 373-97-93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Організатор торгівлі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31.08.2009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№483591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Асоціація "Українські фондові торговці"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33338204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49000, м. Дніпропетровськ, вул.Леніна, 30 (0562) 373-97-93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Саморегулівна організація ринку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22.05.2009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ПрАТ "Українська пожежно-страхова компанія"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20602681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Україна, 04080, м. Київ, вул. Фрунзе, 40, (044) 463-64-21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наземних транспортних засобів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15.06.2011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№584502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АТ "Українська пожежно-страхова компанія"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20602681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Україна, 04080, м. Київ, вул. Фрунзе, 40, (044) 537-66-08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транспортних засобів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10.06.2009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№469624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"УПСК"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20602681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08500, Київська обл., м. Фастів, пл. Перемоги,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Добровільне страхування майна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10.06.2009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№469626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"СК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м. Київ, вул. І. Федорова, 32-А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майна фінансових ризиків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13.01.2010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500328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"СК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м. Київ, вул. І. Федорова, 32-А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майна фінансових ризиків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13.01.2010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500324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"СК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м. Київ, вул. І. Федорова, 32-А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майна фінансових ризиків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26.08.2005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1850765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"СК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м. Київ, вул. І. Федорова, 32-А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майна фінансових ризиків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22.06.2006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1161812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СТРАХОВЕ ТОВАРИСТВО "ДОМІНАНТА"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35265086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01032, м. Київ, вул.Саксаганського, 119, оф.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Добровільне страхування майна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547007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СТРАХОВЕ ТОВАРИСТВО "ДОМІНАНТА"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35265086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01032, м. Київ, вул.Саксаганського, 119, оф.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Добровільне страхування майна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547008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ПрАТ "Страхова компанія "Українська страхова група Життя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32736219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01034, м. Київ, вул. Рейтарська, 19-А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життя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20.07.2004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442497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"Кредит-Рейтинг"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31752402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04070, м. Київ, вул. Верховний Вал, 72, (044)490-25-50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Кредитний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 про включення до державного реєстру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19.12.2006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 №2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34819244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04070, м. Київ, пров. Куренівський, 15, оф.29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Рейтингові рослуги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09.06.2010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 №5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 "ІНЮРПОЛІС"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Закрите 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22651695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61057, м. Харьків, вул. Скрипника, 14-а, (057) 714-28-95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ТОВ Юридична фірма "Пузанов та Партнери"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32735828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01034, м. Київ, вул. Лисенка, 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"Адвокатська фірма "Лаврінович і Партнери"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34728765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01021, м. Київ, Кловський узвіз, 14/24, оф.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Профісійні юридичні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ПЮП "Юрсервіс Консалтинг компані"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підприємство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22522199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 Київ, вул. Лепська, 19/7, оф.14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"КПМГ Аудит"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підприємство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31032100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01001, м. Київ, вул. Михайлівська,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Аудиторськи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Свідоцтво про внесення до Теєстру суб`єктів №2397 від 26.01.2001 аудиторської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26.01.2001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№2397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"Бюро Кредитних Історій "Українське Кредитне бюро"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31404479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03186, м. Київ, бул. Чоколівський, б. 13, оф. 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кредитних історій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ринків фінансових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АГ №505526</w:t>
            </w: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9"/>
        <w:gridCol w:w="81"/>
      </w:tblGrid>
      <w:tr w:rsidR="00F1333F" w:rsidRPr="0068421A">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Вказується інформація про професійних учасників фондового ринку, послугами яких користується емітент, аудиторів (аудиторські фірми), які надають аудиторські послуги емітенту, юридичних осіб, які надають правову допомогу емітенту, юридичних осіб, які надають страхові послуги емітенту, юридичних осіб, які уповноважені здійснювати рейтингову оцінку емітента та/або його цінних паперів.</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1161895520"/>
        <w:rPr>
          <w:rFonts w:ascii="Arial" w:eastAsia="Times New Roman" w:hAnsi="Arial" w:cs="Arial"/>
          <w:b/>
          <w:bCs/>
          <w:color w:val="000000"/>
          <w:lang w:val="uk-UA"/>
        </w:rPr>
      </w:pPr>
      <w:bookmarkStart w:id="20" w:name="pSecuritiesInfo"/>
      <w:bookmarkEnd w:id="20"/>
      <w:r>
        <w:rPr>
          <w:rFonts w:ascii="Arial" w:eastAsia="Times New Roman" w:hAnsi="Arial" w:cs="Arial"/>
          <w:b/>
          <w:bCs/>
          <w:color w:val="000000"/>
          <w:lang w:val="uk-UA"/>
        </w:rPr>
        <w:lastRenderedPageBreak/>
        <w:t>4. Відомості про цінні папери емітента</w:t>
      </w:r>
    </w:p>
    <w:p w:rsidR="00F1333F" w:rsidRDefault="000E012F">
      <w:pPr>
        <w:jc w:val="center"/>
        <w:divId w:val="1743405402"/>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4.1. Інформація про випуски акцій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3"/>
        <w:gridCol w:w="1171"/>
        <w:gridCol w:w="1635"/>
        <w:gridCol w:w="1884"/>
        <w:gridCol w:w="1335"/>
        <w:gridCol w:w="1644"/>
        <w:gridCol w:w="994"/>
        <w:gridCol w:w="1025"/>
        <w:gridCol w:w="1282"/>
        <w:gridCol w:w="1328"/>
        <w:gridCol w:w="1314"/>
      </w:tblGrid>
      <w:tr w:rsidR="00F1333F">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Міжнародний ідентифікаційний номер</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Тип цінного папера</w:t>
            </w:r>
          </w:p>
        </w:tc>
        <w:tc>
          <w:tcPr>
            <w:tcW w:w="27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w:t>
            </w:r>
            <w:r>
              <w:rPr>
                <w:rFonts w:ascii="Arial" w:eastAsia="Times New Roman" w:hAnsi="Arial" w:cs="Arial"/>
                <w:b/>
                <w:bCs/>
                <w:color w:val="000000"/>
                <w:sz w:val="19"/>
                <w:szCs w:val="19"/>
                <w:lang w:val="uk-UA"/>
              </w:rPr>
              <w:br/>
              <w:t>акцій</w:t>
            </w:r>
            <w:r>
              <w:rPr>
                <w:rFonts w:ascii="Arial" w:eastAsia="Times New Roman" w:hAnsi="Arial" w:cs="Arial"/>
                <w:b/>
                <w:bCs/>
                <w:color w:val="000000"/>
                <w:sz w:val="19"/>
                <w:szCs w:val="19"/>
                <w:lang w:val="uk-UA"/>
              </w:rPr>
              <w:br/>
              <w:t>(шт.)</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Частка у</w:t>
            </w:r>
            <w:r>
              <w:rPr>
                <w:rFonts w:ascii="Arial" w:eastAsia="Times New Roman" w:hAnsi="Arial" w:cs="Arial"/>
                <w:b/>
                <w:bCs/>
                <w:color w:val="000000"/>
                <w:sz w:val="19"/>
                <w:szCs w:val="19"/>
                <w:lang w:val="uk-UA"/>
              </w:rPr>
              <w:br/>
              <w:t>статутному</w:t>
            </w:r>
            <w:r>
              <w:rPr>
                <w:rFonts w:ascii="Arial" w:eastAsia="Times New Roman" w:hAnsi="Arial" w:cs="Arial"/>
                <w:b/>
                <w:bCs/>
                <w:color w:val="000000"/>
                <w:sz w:val="19"/>
                <w:szCs w:val="19"/>
                <w:lang w:val="uk-UA"/>
              </w:rPr>
              <w:br/>
              <w:t>капіталі</w:t>
            </w:r>
            <w:r>
              <w:rPr>
                <w:rFonts w:ascii="Arial" w:eastAsia="Times New Roman" w:hAnsi="Arial" w:cs="Arial"/>
                <w:b/>
                <w:bCs/>
                <w:color w:val="000000"/>
                <w:sz w:val="19"/>
                <w:szCs w:val="19"/>
                <w:lang w:val="uk-UA"/>
              </w:rPr>
              <w:br/>
              <w:t>(відсотки)</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07.06.2011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304/1/11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UA4000094866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прості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бездокументарна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іменні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9999522922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9999522922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979/1/10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UA4000094874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привілейовані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бездокументарна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іменні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477078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477078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0.00478</w:t>
            </w:r>
          </w:p>
        </w:tc>
      </w:tr>
    </w:tbl>
    <w:p w:rsidR="00F1333F" w:rsidRDefault="00F1333F">
      <w:pPr>
        <w:rPr>
          <w:rFonts w:eastAsia="Times New Roman"/>
          <w:color w:val="000000"/>
          <w:lang w:val="uk-UA"/>
        </w:rPr>
      </w:pPr>
    </w:p>
    <w:p w:rsidR="00F1333F" w:rsidRDefault="000E012F">
      <w:pPr>
        <w:jc w:val="center"/>
        <w:divId w:val="110619097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 Інформація про облігації емітента (для кожного непогашеного випуску облігацій)</w:t>
      </w:r>
    </w:p>
    <w:p w:rsidR="00F1333F" w:rsidRDefault="000E012F">
      <w:pPr>
        <w:jc w:val="center"/>
        <w:divId w:val="1963726125"/>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4.2.1. Процентні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4"/>
        <w:gridCol w:w="1206"/>
        <w:gridCol w:w="2188"/>
        <w:gridCol w:w="1035"/>
        <w:gridCol w:w="1118"/>
        <w:gridCol w:w="1723"/>
        <w:gridCol w:w="1211"/>
        <w:gridCol w:w="1337"/>
        <w:gridCol w:w="1359"/>
        <w:gridCol w:w="1178"/>
        <w:gridCol w:w="1226"/>
      </w:tblGrid>
      <w:tr w:rsidR="00F1333F">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w:t>
            </w:r>
            <w:r>
              <w:rPr>
                <w:rFonts w:ascii="Arial" w:eastAsia="Times New Roman" w:hAnsi="Arial" w:cs="Arial"/>
                <w:b/>
                <w:bCs/>
                <w:color w:val="000000"/>
                <w:sz w:val="19"/>
                <w:szCs w:val="19"/>
                <w:lang w:val="uk-UA"/>
              </w:rPr>
              <w:br/>
              <w:t>органу, що</w:t>
            </w:r>
            <w:r>
              <w:rPr>
                <w:rFonts w:ascii="Arial" w:eastAsia="Times New Roman" w:hAnsi="Arial" w:cs="Arial"/>
                <w:b/>
                <w:bCs/>
                <w:color w:val="000000"/>
                <w:sz w:val="19"/>
                <w:szCs w:val="19"/>
                <w:lang w:val="uk-UA"/>
              </w:rPr>
              <w:br/>
              <w:t>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у випуску (шт.)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 номінальна вартість (грн)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Відсоткова ставка за облігаціями (відсотки)</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Строк виплати відсотків</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пога-</w:t>
            </w:r>
            <w:r>
              <w:rPr>
                <w:rFonts w:ascii="Arial" w:eastAsia="Times New Roman" w:hAnsi="Arial" w:cs="Arial"/>
                <w:b/>
                <w:bCs/>
                <w:color w:val="000000"/>
                <w:sz w:val="19"/>
                <w:szCs w:val="19"/>
                <w:lang w:val="uk-UA"/>
              </w:rPr>
              <w:br/>
              <w:t>шення облі-</w:t>
            </w:r>
            <w:r>
              <w:rPr>
                <w:rFonts w:ascii="Arial" w:eastAsia="Times New Roman" w:hAnsi="Arial" w:cs="Arial"/>
                <w:b/>
                <w:bCs/>
                <w:color w:val="000000"/>
                <w:sz w:val="19"/>
                <w:szCs w:val="19"/>
                <w:lang w:val="uk-UA"/>
              </w:rPr>
              <w:br/>
              <w:t>гацій</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521/2/07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бездокументарна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іменні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 раз в 91 день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18.12.2012</w:t>
            </w:r>
          </w:p>
        </w:tc>
      </w:tr>
    </w:tbl>
    <w:p w:rsidR="00F1333F" w:rsidRDefault="00F1333F">
      <w:pPr>
        <w:rPr>
          <w:rFonts w:eastAsia="Times New Roman"/>
          <w:color w:val="000000"/>
          <w:lang w:val="uk-UA"/>
        </w:rPr>
      </w:pPr>
    </w:p>
    <w:p w:rsidR="00F1333F" w:rsidRDefault="000E012F">
      <w:pPr>
        <w:jc w:val="center"/>
        <w:divId w:val="175330885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4.2.2. Дисконтні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4"/>
        <w:gridCol w:w="1358"/>
        <w:gridCol w:w="2879"/>
        <w:gridCol w:w="1074"/>
        <w:gridCol w:w="1216"/>
        <w:gridCol w:w="2027"/>
        <w:gridCol w:w="2142"/>
        <w:gridCol w:w="1374"/>
        <w:gridCol w:w="1381"/>
      </w:tblGrid>
      <w:tr w:rsidR="00F1333F">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Номер</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 xml:space="preserve">Найменування органу, що </w:t>
            </w:r>
            <w:r>
              <w:rPr>
                <w:rFonts w:ascii="Arial" w:eastAsia="Times New Roman" w:hAnsi="Arial" w:cs="Arial"/>
                <w:b/>
                <w:bCs/>
                <w:color w:val="000000"/>
                <w:sz w:val="19"/>
                <w:szCs w:val="19"/>
                <w:lang w:val="uk-UA"/>
              </w:rPr>
              <w:lastRenderedPageBreak/>
              <w:t>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Номі-</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Кількість</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у випуску</w:t>
            </w:r>
            <w:r>
              <w:rPr>
                <w:rFonts w:ascii="Arial" w:eastAsia="Times New Roman" w:hAnsi="Arial" w:cs="Arial"/>
                <w:b/>
                <w:bCs/>
                <w:color w:val="000000"/>
                <w:sz w:val="19"/>
                <w:szCs w:val="19"/>
                <w:lang w:val="uk-UA"/>
              </w:rPr>
              <w:br/>
              <w:t>(шт.)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Форма 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 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Дата</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погашення</w:t>
            </w:r>
            <w:r>
              <w:rPr>
                <w:rFonts w:ascii="Arial" w:eastAsia="Times New Roman" w:hAnsi="Arial" w:cs="Arial"/>
                <w:b/>
                <w:bCs/>
                <w:color w:val="000000"/>
                <w:sz w:val="19"/>
                <w:szCs w:val="19"/>
                <w:lang w:val="uk-UA"/>
              </w:rPr>
              <w:br/>
              <w:t>облігацій</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p w:rsidR="00F1333F" w:rsidRDefault="000E012F">
      <w:pPr>
        <w:jc w:val="center"/>
        <w:divId w:val="966350232"/>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4.2.3. Цільові (безпроцентні)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8"/>
        <w:gridCol w:w="1292"/>
        <w:gridCol w:w="2440"/>
        <w:gridCol w:w="1057"/>
        <w:gridCol w:w="1174"/>
        <w:gridCol w:w="1728"/>
        <w:gridCol w:w="1740"/>
        <w:gridCol w:w="1358"/>
        <w:gridCol w:w="1379"/>
        <w:gridCol w:w="1339"/>
      </w:tblGrid>
      <w:tr w:rsidR="00F1333F">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w:t>
            </w:r>
            <w:r>
              <w:rPr>
                <w:rFonts w:ascii="Arial" w:eastAsia="Times New Roman" w:hAnsi="Arial" w:cs="Arial"/>
                <w:b/>
                <w:bCs/>
                <w:color w:val="000000"/>
                <w:sz w:val="19"/>
                <w:szCs w:val="19"/>
                <w:lang w:val="uk-UA"/>
              </w:rPr>
              <w:br/>
              <w:t>у випуску</w:t>
            </w:r>
            <w:r>
              <w:rPr>
                <w:rFonts w:ascii="Arial" w:eastAsia="Times New Roman" w:hAnsi="Arial" w:cs="Arial"/>
                <w:b/>
                <w:bCs/>
                <w:color w:val="000000"/>
                <w:sz w:val="19"/>
                <w:szCs w:val="19"/>
                <w:lang w:val="uk-UA"/>
              </w:rPr>
              <w:br/>
              <w:t>(шт.)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w:t>
            </w:r>
            <w:r>
              <w:rPr>
                <w:rFonts w:ascii="Arial" w:eastAsia="Times New Roman" w:hAnsi="Arial" w:cs="Arial"/>
                <w:b/>
                <w:bCs/>
                <w:color w:val="000000"/>
                <w:sz w:val="19"/>
                <w:szCs w:val="19"/>
                <w:lang w:val="uk-UA"/>
              </w:rPr>
              <w:br/>
              <w:t>нування</w:t>
            </w:r>
            <w:r>
              <w:rPr>
                <w:rFonts w:ascii="Arial" w:eastAsia="Times New Roman" w:hAnsi="Arial" w:cs="Arial"/>
                <w:b/>
                <w:bCs/>
                <w:color w:val="000000"/>
                <w:sz w:val="19"/>
                <w:szCs w:val="19"/>
                <w:lang w:val="uk-UA"/>
              </w:rPr>
              <w:br/>
              <w:t>товару (послуги),</w:t>
            </w:r>
            <w:r>
              <w:rPr>
                <w:rFonts w:ascii="Arial" w:eastAsia="Times New Roman" w:hAnsi="Arial" w:cs="Arial"/>
                <w:b/>
                <w:bCs/>
                <w:color w:val="000000"/>
                <w:sz w:val="19"/>
                <w:szCs w:val="19"/>
                <w:lang w:val="uk-UA"/>
              </w:rPr>
              <w:br/>
              <w:t>під який</w:t>
            </w:r>
            <w:r>
              <w:rPr>
                <w:rFonts w:ascii="Arial" w:eastAsia="Times New Roman" w:hAnsi="Arial" w:cs="Arial"/>
                <w:b/>
                <w:bCs/>
                <w:color w:val="000000"/>
                <w:sz w:val="19"/>
                <w:szCs w:val="19"/>
                <w:lang w:val="uk-UA"/>
              </w:rPr>
              <w:br/>
              <w:t>здійснено</w:t>
            </w:r>
            <w:r>
              <w:rPr>
                <w:rFonts w:ascii="Arial" w:eastAsia="Times New Roman" w:hAnsi="Arial" w:cs="Arial"/>
                <w:b/>
                <w:bCs/>
                <w:color w:val="000000"/>
                <w:sz w:val="19"/>
                <w:szCs w:val="19"/>
                <w:lang w:val="uk-UA"/>
              </w:rPr>
              <w:br/>
              <w:t>випуск</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погашення</w:t>
            </w:r>
            <w:r>
              <w:rPr>
                <w:rFonts w:ascii="Arial" w:eastAsia="Times New Roman" w:hAnsi="Arial" w:cs="Arial"/>
                <w:b/>
                <w:bCs/>
                <w:color w:val="000000"/>
                <w:sz w:val="19"/>
                <w:szCs w:val="19"/>
                <w:lang w:val="uk-UA"/>
              </w:rPr>
              <w:br/>
              <w:t>облігацій</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0E012F">
      <w:pPr>
        <w:rPr>
          <w:rFonts w:eastAsia="Times New Roman"/>
          <w:color w:val="000000"/>
          <w:lang w:val="uk-UA"/>
        </w:rPr>
      </w:pPr>
      <w:r>
        <w:rPr>
          <w:rFonts w:eastAsia="Times New Roman"/>
          <w:color w:val="000000"/>
          <w:lang w:val="uk-UA"/>
        </w:rPr>
        <w:br w:type="page"/>
      </w:r>
    </w:p>
    <w:p w:rsidR="00F1333F" w:rsidRDefault="00F1333F">
      <w:pPr>
        <w:rPr>
          <w:rFonts w:eastAsia="Times New Roman"/>
          <w:color w:val="000000"/>
          <w:lang w:val="uk-UA"/>
        </w:rPr>
        <w:sectPr w:rsidR="00F1333F">
          <w:pgSz w:w="16838" w:h="11906" w:orient="landscape"/>
          <w:pgMar w:top="1134" w:right="1134" w:bottom="851" w:left="1134" w:header="709" w:footer="709" w:gutter="0"/>
          <w:cols w:space="708"/>
          <w:docGrid w:linePitch="360"/>
        </w:sectPr>
      </w:pPr>
    </w:p>
    <w:p w:rsidR="00F1333F" w:rsidRDefault="00F1333F">
      <w:pPr>
        <w:rPr>
          <w:rFonts w:eastAsia="Times New Roman"/>
          <w:color w:val="000000"/>
          <w:lang w:val="uk-UA"/>
        </w:rPr>
      </w:pPr>
    </w:p>
    <w:p w:rsidR="00F1333F" w:rsidRDefault="000E012F">
      <w:pPr>
        <w:jc w:val="center"/>
        <w:divId w:val="130280941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4.3. Інформація про інші цінні папери, випущені емітентом (емісія яких підлягає реєстрації) (крім іпотечних облігацій, іпотечних сертифікатів, сертифікатів ФОН)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1"/>
        <w:gridCol w:w="952"/>
        <w:gridCol w:w="986"/>
        <w:gridCol w:w="1349"/>
        <w:gridCol w:w="5888"/>
      </w:tblGrid>
      <w:tr w:rsidR="00F1333F">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 цінних паперів</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Обсяг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Обсяг розміщених цінних паперів на звітну дату (грн)</w:t>
            </w:r>
          </w:p>
        </w:tc>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Умови обігу та погашення</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p w:rsidR="00F1333F" w:rsidRDefault="000E012F">
      <w:pPr>
        <w:jc w:val="center"/>
        <w:divId w:val="1190875415"/>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4.4. Інформація про викуп власних акцій протягом звітного періоду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
        <w:gridCol w:w="1422"/>
        <w:gridCol w:w="1232"/>
        <w:gridCol w:w="1232"/>
        <w:gridCol w:w="1304"/>
        <w:gridCol w:w="3170"/>
        <w:gridCol w:w="1314"/>
      </w:tblGrid>
      <w:tr w:rsidR="00F1333F">
        <w:trPr>
          <w:tblCellSpacing w:w="15" w:type="dxa"/>
        </w:trPr>
        <w:tc>
          <w:tcPr>
            <w:tcW w:w="2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з/п</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зарахування акцій на рахунок емітента</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акцій, що викуплено (шт.)</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реєстрації випуску акцій, що викуплено</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 свідоцтва про реєстрацію випуску акцій, що викуплено</w:t>
            </w:r>
          </w:p>
        </w:tc>
        <w:tc>
          <w:tcPr>
            <w:tcW w:w="22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 акцій, що викуплено</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Частка у статутному капіталі (відсотки)</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F1333F">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p w:rsidR="00F1333F" w:rsidRDefault="000E012F">
      <w:pPr>
        <w:jc w:val="center"/>
        <w:divId w:val="2023628966"/>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4.5. Інформація щодо виданих сертифікатів цінних паперів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9"/>
        <w:gridCol w:w="6097"/>
      </w:tblGrid>
      <w:tr w:rsidR="00F1333F">
        <w:trPr>
          <w:tblCellSpacing w:w="15" w:type="dxa"/>
        </w:trPr>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jc w:val="center"/>
              <w:rPr>
                <w:rFonts w:ascii="Arial" w:eastAsia="Times New Roman" w:hAnsi="Arial" w:cs="Arial"/>
                <w:b/>
                <w:bCs/>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jc w:val="center"/>
              <w:rPr>
                <w:rFonts w:ascii="Arial" w:eastAsia="Times New Roman" w:hAnsi="Arial" w:cs="Arial"/>
                <w:b/>
                <w:bCs/>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замовлених бланків сертифікатів цінних паперів (шт.)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 тому числі: сертифікатів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облігацій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інших цінних паперів (окремо щодо кожного виду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виданих власникам сертифікатів цінних паперів (шт.)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 тому числі: сертифікатів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облігацій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інших цінних паперів (окремо щодо кожного виду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607128318"/>
        <w:rPr>
          <w:rFonts w:ascii="Arial" w:eastAsia="Times New Roman" w:hAnsi="Arial" w:cs="Arial"/>
          <w:b/>
          <w:bCs/>
          <w:color w:val="000000"/>
          <w:lang w:val="uk-UA"/>
        </w:rPr>
      </w:pPr>
      <w:bookmarkStart w:id="21" w:name="pthirdpartyguaranteesinfo"/>
      <w:bookmarkEnd w:id="21"/>
      <w:r>
        <w:rPr>
          <w:rFonts w:ascii="Arial" w:eastAsia="Times New Roman" w:hAnsi="Arial" w:cs="Arial"/>
          <w:b/>
          <w:bCs/>
          <w:color w:val="000000"/>
          <w:lang w:val="uk-UA"/>
        </w:rPr>
        <w:lastRenderedPageBreak/>
        <w:t>5. Інформація про гарантії третьої особи за кожним випуском боргових цінних паперів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1"/>
        <w:gridCol w:w="1304"/>
        <w:gridCol w:w="3381"/>
        <w:gridCol w:w="1111"/>
        <w:gridCol w:w="3169"/>
      </w:tblGrid>
      <w:tr w:rsidR="00F1333F">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реєстрації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 свідоцтва про реєстрацію випуску</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особи гаранта</w:t>
            </w:r>
          </w:p>
        </w:tc>
        <w:tc>
          <w:tcPr>
            <w:tcW w:w="5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w:t>
            </w:r>
            <w:r>
              <w:rPr>
                <w:rFonts w:ascii="Arial" w:eastAsia="Times New Roman" w:hAnsi="Arial" w:cs="Arial"/>
                <w:b/>
                <w:bCs/>
                <w:color w:val="000000"/>
                <w:sz w:val="19"/>
                <w:szCs w:val="19"/>
                <w:lang w:val="uk-UA"/>
              </w:rPr>
              <w:br/>
              <w:t>каційний</w:t>
            </w:r>
            <w:r>
              <w:rPr>
                <w:rFonts w:ascii="Arial" w:eastAsia="Times New Roman" w:hAnsi="Arial" w:cs="Arial"/>
                <w:b/>
                <w:bCs/>
                <w:color w:val="000000"/>
                <w:sz w:val="19"/>
                <w:szCs w:val="19"/>
                <w:lang w:val="uk-UA"/>
              </w:rPr>
              <w:br/>
              <w:t>код за</w:t>
            </w:r>
            <w:r>
              <w:rPr>
                <w:rFonts w:ascii="Arial" w:eastAsia="Times New Roman" w:hAnsi="Arial" w:cs="Arial"/>
                <w:b/>
                <w:bCs/>
                <w:color w:val="000000"/>
                <w:sz w:val="19"/>
                <w:szCs w:val="19"/>
                <w:lang w:val="uk-UA"/>
              </w:rPr>
              <w:br/>
              <w:t>ЄДРПОУ</w:t>
            </w:r>
            <w:r>
              <w:rPr>
                <w:rFonts w:ascii="Arial" w:eastAsia="Times New Roman" w:hAnsi="Arial" w:cs="Arial"/>
                <w:b/>
                <w:bCs/>
                <w:color w:val="000000"/>
                <w:sz w:val="19"/>
                <w:szCs w:val="19"/>
                <w:lang w:val="uk-UA"/>
              </w:rPr>
              <w:br/>
              <w:t>гаранта</w:t>
            </w:r>
          </w:p>
        </w:tc>
        <w:tc>
          <w:tcPr>
            <w:tcW w:w="17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Місцезнаходження гаранта</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521/2/07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Закрите акціонерне товариство "Страхова компанія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м. Київ, вул. Івана Федорова, 32-А</w:t>
            </w:r>
          </w:p>
        </w:tc>
      </w:tr>
    </w:tbl>
    <w:p w:rsidR="00F1333F" w:rsidRDefault="00F1333F">
      <w:pPr>
        <w:rPr>
          <w:rFonts w:eastAsia="Times New Roman"/>
          <w:color w:val="000000"/>
          <w:lang w:val="uk-UA"/>
        </w:rPr>
      </w:pP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Випуск відсоткових забезпечених облігацій серії «Е» (100 000 штук, номінал – 1 000,00 грн.) зареєстрований ДКЦПФР 30.08.2007р. №521/2/07, забезпечується згідно Договору №75-0101-0015 від 27 липня 2007 року укладеного між АБ «Укргазбанк» і Закритим акціонерним товариством «Страховою компанією «Українська страхова група» (код за ЄДРПОУ 30859524; 03038, м.Київ, вул.Івана Федорова, 32-А; не є афілійованою особою АБ «Укргазбанк»). Договір №75-0101-0015 від 27 липня 2007 року добровільного страхування відповідальності перед третіми особами – на страхування ризиків непогашення емітентом основної суми боргу та невиплати доходу за облігаціями на загальну суму 329 640 000,00 грн., при цьому гранична сума відповідальності за виплатою доходу в розрахунку на одну облігацію – 648,20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нова процентна ставка доходу за облігаціями перевищуватиме 13% річних, у разі настання страхового випадку страхове відшкодування буде покривати номінальну вартість і частину процентного доходу – 648,20 грн. за одну облігацію.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Цей Договір укладено на користь власників облігацій.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pStyle w:val="pagebreak"/>
        <w:rPr>
          <w:color w:val="000000"/>
          <w:lang w:val="uk-UA"/>
        </w:rPr>
      </w:pPr>
      <w:r>
        <w:rPr>
          <w:color w:val="000000"/>
          <w:lang w:val="uk-UA"/>
        </w:rPr>
        <w:t> </w:t>
      </w:r>
    </w:p>
    <w:p w:rsidR="00F1333F" w:rsidRDefault="000E012F">
      <w:pPr>
        <w:pageBreakBefore/>
        <w:jc w:val="center"/>
        <w:divId w:val="1120413418"/>
        <w:rPr>
          <w:rFonts w:ascii="Arial" w:eastAsia="Times New Roman" w:hAnsi="Arial" w:cs="Arial"/>
          <w:b/>
          <w:bCs/>
          <w:color w:val="000000"/>
          <w:lang w:val="uk-UA"/>
        </w:rPr>
      </w:pPr>
      <w:bookmarkStart w:id="22" w:name="pFixedAssetsResidualValue"/>
      <w:bookmarkEnd w:id="22"/>
      <w:r>
        <w:rPr>
          <w:rFonts w:ascii="Arial" w:eastAsia="Times New Roman" w:hAnsi="Arial" w:cs="Arial"/>
          <w:b/>
          <w:bCs/>
          <w:color w:val="000000"/>
          <w:lang w:val="uk-UA"/>
        </w:rPr>
        <w:lastRenderedPageBreak/>
        <w:t>6. Інформація про основні засоби емітента (за залишковою вартістю)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1321"/>
        <w:gridCol w:w="1322"/>
        <w:gridCol w:w="1322"/>
        <w:gridCol w:w="1322"/>
        <w:gridCol w:w="1322"/>
        <w:gridCol w:w="1337"/>
      </w:tblGrid>
      <w:tr w:rsidR="00F1333F">
        <w:trPr>
          <w:tblCellSpacing w:w="15" w:type="dxa"/>
        </w:trPr>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основних засобів</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Власні основні засоби</w:t>
            </w:r>
            <w:r>
              <w:rPr>
                <w:rFonts w:ascii="Arial" w:eastAsia="Times New Roman" w:hAnsi="Arial" w:cs="Arial"/>
                <w:b/>
                <w:bCs/>
                <w:color w:val="000000"/>
                <w:sz w:val="19"/>
                <w:szCs w:val="19"/>
                <w:lang w:val="uk-UA"/>
              </w:rPr>
              <w:br/>
              <w:t>(тис. грн)</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Орендовані основні засоби</w:t>
            </w:r>
            <w:r>
              <w:rPr>
                <w:rFonts w:ascii="Arial" w:eastAsia="Times New Roman" w:hAnsi="Arial" w:cs="Arial"/>
                <w:b/>
                <w:bCs/>
                <w:color w:val="000000"/>
                <w:sz w:val="19"/>
                <w:szCs w:val="19"/>
                <w:lang w:val="uk-UA"/>
              </w:rPr>
              <w:br/>
              <w:t>(тис. грн)</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Основні засоби, всього</w:t>
            </w:r>
            <w:r>
              <w:rPr>
                <w:rFonts w:ascii="Arial" w:eastAsia="Times New Roman" w:hAnsi="Arial" w:cs="Arial"/>
                <w:b/>
                <w:bCs/>
                <w:color w:val="000000"/>
                <w:sz w:val="19"/>
                <w:szCs w:val="19"/>
                <w:lang w:val="uk-UA"/>
              </w:rPr>
              <w:br/>
              <w:t>(тис. грн)</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601844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536499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102297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704141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536499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530056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481880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99984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630040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481880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47031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36773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47071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36773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2522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3642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22235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1153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23388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16852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601844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536499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102297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704141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536499</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22675639"/>
        <w:rPr>
          <w:rFonts w:ascii="Arial" w:eastAsia="Times New Roman" w:hAnsi="Arial" w:cs="Arial"/>
          <w:b/>
          <w:bCs/>
          <w:color w:val="000000"/>
          <w:lang w:val="uk-UA"/>
        </w:rPr>
      </w:pPr>
      <w:bookmarkStart w:id="23" w:name="pNetAssetsInfo"/>
      <w:bookmarkEnd w:id="23"/>
      <w:r>
        <w:rPr>
          <w:rFonts w:ascii="Arial" w:eastAsia="Times New Roman" w:hAnsi="Arial" w:cs="Arial"/>
          <w:b/>
          <w:bCs/>
          <w:color w:val="000000"/>
          <w:lang w:val="uk-UA"/>
        </w:rPr>
        <w:lastRenderedPageBreak/>
        <w:t>7. Інформація щодо вартості чистих активів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1"/>
        <w:gridCol w:w="3550"/>
        <w:gridCol w:w="3565"/>
      </w:tblGrid>
      <w:tr w:rsidR="00F1333F">
        <w:trPr>
          <w:tblCellSpacing w:w="15" w:type="dxa"/>
        </w:trPr>
        <w:tc>
          <w:tcPr>
            <w:tcW w:w="1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показника</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звітний період</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попередній період</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Розрахункова вартість чистих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3029020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2804104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чисті активи визначені як різниця між сукупною вартістю активів Банку та вартістю його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чисті активи визначені як різниця між сукупною вартістю активів Банку та вартістю його зобов'язань</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Висновок**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 суперечить законодавству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 суперечить законодавству</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2042855139"/>
        <w:rPr>
          <w:rFonts w:ascii="Arial" w:eastAsia="Times New Roman" w:hAnsi="Arial" w:cs="Arial"/>
          <w:b/>
          <w:bCs/>
          <w:color w:val="000000"/>
          <w:lang w:val="uk-UA"/>
        </w:rPr>
      </w:pPr>
      <w:bookmarkStart w:id="24" w:name="pSpecialInfo"/>
      <w:bookmarkEnd w:id="24"/>
      <w:r>
        <w:rPr>
          <w:rFonts w:ascii="Arial" w:eastAsia="Times New Roman" w:hAnsi="Arial" w:cs="Arial"/>
          <w:b/>
          <w:bCs/>
          <w:color w:val="000000"/>
          <w:lang w:val="uk-UA"/>
        </w:rPr>
        <w:lastRenderedPageBreak/>
        <w:t>8. Відомості щодо особливої інформації, що виникала протягом звітного періоду.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1654"/>
        <w:gridCol w:w="7331"/>
      </w:tblGrid>
      <w:tr w:rsidR="00F1333F">
        <w:trPr>
          <w:tblCellSpacing w:w="15" w:type="dxa"/>
        </w:trPr>
        <w:tc>
          <w:tcPr>
            <w:tcW w:w="5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вчинення дії</w:t>
            </w:r>
          </w:p>
        </w:tc>
        <w:tc>
          <w:tcPr>
            <w:tcW w:w="5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оприлюднення повідомлення</w:t>
            </w:r>
          </w:p>
        </w:tc>
        <w:tc>
          <w:tcPr>
            <w:tcW w:w="39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 інформації</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18.09.2012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19.09.2012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Інформація про факти лістингу / делістингу цінних паперів на фондовій біржі</w:t>
            </w:r>
          </w:p>
        </w:tc>
      </w:tr>
    </w:tbl>
    <w:p w:rsidR="00F1333F" w:rsidRDefault="00F1333F">
      <w:pPr>
        <w:rPr>
          <w:rFonts w:eastAsia="Times New Roman"/>
          <w:color w:val="000000"/>
          <w:lang w:val="uk-UA"/>
        </w:rPr>
      </w:pPr>
    </w:p>
    <w:p w:rsidR="00F1333F" w:rsidRDefault="000E012F">
      <w:pPr>
        <w:pageBreakBefore/>
        <w:jc w:val="center"/>
        <w:textAlignment w:val="center"/>
        <w:divId w:val="1775131564"/>
        <w:rPr>
          <w:rFonts w:ascii="Arial" w:eastAsia="Times New Roman" w:hAnsi="Arial" w:cs="Arial"/>
          <w:b/>
          <w:bCs/>
          <w:color w:val="000000"/>
          <w:lang w:val="uk-UA"/>
        </w:rPr>
      </w:pPr>
      <w:r>
        <w:rPr>
          <w:rFonts w:ascii="Arial" w:eastAsia="Times New Roman" w:hAnsi="Arial" w:cs="Arial"/>
          <w:b/>
          <w:bCs/>
          <w:color w:val="000000"/>
          <w:lang w:val="uk-UA"/>
        </w:rPr>
        <w:lastRenderedPageBreak/>
        <w:t>Фінансова звітність</w:t>
      </w:r>
    </w:p>
    <w:p w:rsidR="00F1333F" w:rsidRDefault="000E012F">
      <w:pPr>
        <w:pStyle w:val="pagebreak"/>
        <w:rPr>
          <w:color w:val="000000"/>
          <w:lang w:val="uk-UA"/>
        </w:rPr>
      </w:pPr>
      <w:r>
        <w:rPr>
          <w:color w:val="000000"/>
          <w:lang w:val="uk-UA"/>
        </w:rPr>
        <w:t> </w:t>
      </w:r>
    </w:p>
    <w:p w:rsidR="00F1333F" w:rsidRDefault="000E012F">
      <w:pPr>
        <w:pageBreakBefore/>
        <w:jc w:val="center"/>
        <w:divId w:val="1878659568"/>
        <w:rPr>
          <w:rFonts w:ascii="Arial" w:eastAsia="Times New Roman" w:hAnsi="Arial" w:cs="Arial"/>
          <w:b/>
          <w:bCs/>
          <w:color w:val="000000"/>
          <w:lang w:val="uk-UA"/>
        </w:rPr>
      </w:pPr>
      <w:bookmarkStart w:id="25" w:name="pbalance"/>
      <w:bookmarkEnd w:id="25"/>
      <w:r>
        <w:rPr>
          <w:rFonts w:ascii="Arial" w:eastAsia="Times New Roman" w:hAnsi="Arial" w:cs="Arial"/>
          <w:b/>
          <w:bCs/>
          <w:color w:val="000000"/>
          <w:lang w:val="uk-UA"/>
        </w:rPr>
        <w:lastRenderedPageBreak/>
        <w:t>Звіт про фінансовий стан (Баланс)</w:t>
      </w:r>
    </w:p>
    <w:p w:rsidR="00F1333F" w:rsidRDefault="000E012F">
      <w:pPr>
        <w:jc w:val="center"/>
        <w:divId w:val="91786118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1606422584"/>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6"/>
        <w:gridCol w:w="2147"/>
        <w:gridCol w:w="2163"/>
      </w:tblGrid>
      <w:tr w:rsidR="00F1333F">
        <w:trPr>
          <w:tblCellSpacing w:w="15" w:type="dxa"/>
        </w:trPr>
        <w:tc>
          <w:tcPr>
            <w:tcW w:w="2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1599921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2272427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обов'язкових резервів банку в Національному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18462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Торгові цінні папери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604006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15926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активи,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в інших банках,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2167373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2140504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1285532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936213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знецінення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(12896)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(1127099)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Кредити та заборгованість клієнтів,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7847479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8283219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кредити та заборгованість юридичних осіб,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6266617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6998517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734996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310045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знецінення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(5683210)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(6362846)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кредити та заборгованість фізичних осіб,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1580862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1284702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398198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598714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знецінення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(1546551)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(1575693)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Цінні папери в портфелі банку на продаж,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4786644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3764318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(453237)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(421749)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Цінні папери в портфелі банку до погашення,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(6047)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(6047)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Інвестиції в 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12075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10266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126111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177560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652295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683865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активи,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1973141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720498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(128920)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(159146)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активи,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101331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88382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під інші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(39114)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(38961)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Необоротні активи, утримувані для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76235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активів,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19965357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18157477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5169036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4298717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банків,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7922364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8754362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1332916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1667258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клієнтів,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6879042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5615040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юридичних осіб,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2074193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1231042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281357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190242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юридичних осіб на вимогу,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787916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775449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104595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83305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фізичних осіб,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4804849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4383998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2889157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2611934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фізичних осіб на вимогу,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1449098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1162951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586960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475662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Боргові цінні папери, емітовані банком,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20384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70265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Зобов'язання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174703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188667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2001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1106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1817581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627515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37308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25599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53337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50435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Зобов'язання групи вибуття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зобов'язань,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16936337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15353373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5896794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4982970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ВЛАСНИЙ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10000000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Емісійні різниці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135942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135942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Незареєстровані внески до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(7361405)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(7652180)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10058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10058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244425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310284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3029020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2804104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19965357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18157477</w:t>
            </w: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57"/>
        <w:gridCol w:w="4654"/>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11.10.2012</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Усенко В.М. (044) 239-28-36</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1019627772"/>
        <w:rPr>
          <w:rFonts w:ascii="Arial" w:eastAsia="Times New Roman" w:hAnsi="Arial" w:cs="Arial"/>
          <w:b/>
          <w:bCs/>
          <w:color w:val="000000"/>
          <w:lang w:val="uk-UA"/>
        </w:rPr>
      </w:pPr>
      <w:bookmarkStart w:id="26" w:name="pBanksFR"/>
      <w:bookmarkEnd w:id="26"/>
      <w:r>
        <w:rPr>
          <w:rFonts w:ascii="Arial" w:eastAsia="Times New Roman" w:hAnsi="Arial" w:cs="Arial"/>
          <w:b/>
          <w:bCs/>
          <w:color w:val="000000"/>
          <w:lang w:val="uk-UA"/>
        </w:rPr>
        <w:lastRenderedPageBreak/>
        <w:t>Звіт про прибутки і збитки та інший сукупний дохід (Звіт про фінансові результати)</w:t>
      </w:r>
    </w:p>
    <w:p w:rsidR="00F1333F" w:rsidRDefault="000E012F">
      <w:pPr>
        <w:jc w:val="center"/>
        <w:divId w:val="3204881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1854294214"/>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9"/>
        <w:gridCol w:w="1506"/>
        <w:gridCol w:w="1512"/>
        <w:gridCol w:w="1562"/>
        <w:gridCol w:w="1577"/>
      </w:tblGrid>
      <w:tr w:rsidR="00F1333F">
        <w:trPr>
          <w:tblCellSpacing w:w="15" w:type="dxa"/>
        </w:trPr>
        <w:tc>
          <w:tcPr>
            <w:tcW w:w="2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 наростаючим підсумком з початку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 наростаючим підсумком з початку року</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Процентні витрати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цінними паперами в торговому портфелі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інших фінансових інструментів, що обліковуються за справедливою вартістю з визнанням результату переоцінки через прибутки або збитки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Доходи/(витрати), які виникають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Витрати/(доходи), які виникають під час</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Відрахування до резерву під знецінення кредитів та коштів в інших банках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основних засобів та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переоцінки за операціями з хеджування грошових потоків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сукупного доходу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припиненої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за квартал: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чистий прибуток/(збиток) на одну просту акцію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1899512092"/>
        <w:rPr>
          <w:rFonts w:ascii="Arial" w:eastAsia="Times New Roman" w:hAnsi="Arial" w:cs="Arial"/>
          <w:b/>
          <w:bCs/>
          <w:color w:val="000000"/>
          <w:lang w:val="uk-UA"/>
        </w:rPr>
      </w:pPr>
      <w:bookmarkStart w:id="27" w:name="pBanksPL"/>
      <w:bookmarkEnd w:id="27"/>
      <w:r>
        <w:rPr>
          <w:rFonts w:ascii="Arial" w:eastAsia="Times New Roman" w:hAnsi="Arial" w:cs="Arial"/>
          <w:b/>
          <w:bCs/>
          <w:color w:val="000000"/>
          <w:lang w:val="uk-UA"/>
        </w:rPr>
        <w:lastRenderedPageBreak/>
        <w:t>Звіт про прибутки і збитки</w:t>
      </w:r>
    </w:p>
    <w:p w:rsidR="00F1333F" w:rsidRDefault="000E012F">
      <w:pPr>
        <w:jc w:val="center"/>
        <w:divId w:val="161855856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618530971"/>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9"/>
        <w:gridCol w:w="1506"/>
        <w:gridCol w:w="1512"/>
        <w:gridCol w:w="1562"/>
        <w:gridCol w:w="1577"/>
      </w:tblGrid>
      <w:tr w:rsidR="00F1333F">
        <w:trPr>
          <w:tblCellSpacing w:w="15" w:type="dxa"/>
        </w:trPr>
        <w:tc>
          <w:tcPr>
            <w:tcW w:w="2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 наростаючим підсумком з початку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 наростаючим підсумком з початку року</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579163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1574124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423832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1284006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Процентні витрати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(372698)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(1000244)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(236256)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(684850)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573880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187576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599156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38406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102226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33409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93395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(7076)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(20406)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(6972)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(17611)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цінними паперами в торговому портфелі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(730)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3465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інших фінансових інструментів,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33042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83826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(12390)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4183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62525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22648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31967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13023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(17555)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(8987)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(12753)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який виникає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Збиток/(прибуток), який виникає під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кредитів та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36594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(31626)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(3349276)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(3507957)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(33971)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(147602)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(148227)</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(23915)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(31487)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(206381)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(218849)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3119</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7758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6483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(156838)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(435423)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(142182)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(414234)</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112462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322129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(3619329)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(3594436)</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(4167)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(31354)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13188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(5035)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108295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290775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(3606141)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(3599471)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108295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290775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(3606141)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(3599471)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(0.53)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(0.53)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(0.53)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припиненої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29"/>
        <w:gridCol w:w="4882"/>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11.10.2012</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Махкамова І.А. (044) 239-28-36</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829445886"/>
        <w:rPr>
          <w:rFonts w:ascii="Arial" w:eastAsia="Times New Roman" w:hAnsi="Arial" w:cs="Arial"/>
          <w:b/>
          <w:bCs/>
          <w:color w:val="000000"/>
          <w:lang w:val="uk-UA"/>
        </w:rPr>
      </w:pPr>
      <w:bookmarkStart w:id="28" w:name="pBanksTP"/>
      <w:bookmarkEnd w:id="28"/>
      <w:r>
        <w:rPr>
          <w:rFonts w:ascii="Arial" w:eastAsia="Times New Roman" w:hAnsi="Arial" w:cs="Arial"/>
          <w:b/>
          <w:bCs/>
          <w:color w:val="000000"/>
          <w:lang w:val="uk-UA"/>
        </w:rPr>
        <w:lastRenderedPageBreak/>
        <w:t>Звіт про сукупний дохід</w:t>
      </w:r>
    </w:p>
    <w:p w:rsidR="00F1333F" w:rsidRDefault="000E012F">
      <w:pPr>
        <w:jc w:val="center"/>
        <w:divId w:val="185029638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658385044"/>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9"/>
        <w:gridCol w:w="1506"/>
        <w:gridCol w:w="1512"/>
        <w:gridCol w:w="1562"/>
        <w:gridCol w:w="1577"/>
      </w:tblGrid>
      <w:tr w:rsidR="00F1333F">
        <w:trPr>
          <w:tblCellSpacing w:w="15" w:type="dxa"/>
        </w:trPr>
        <w:tc>
          <w:tcPr>
            <w:tcW w:w="2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поточний квартал наростаючим підсумком з початку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відповідний квартал попереднього року наростаючим підсумком з початку року</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108295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290775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(3606141)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(3599471)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1821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(59728)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71665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6851</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основних засобів та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переоцінки за операціями з хеджування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Накопичені курсові різниці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(2106)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37422</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(65859)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71665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44268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 за рік, у т. ч.:</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108010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224916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(3534476)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(3555203)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власників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неконтрольованої частки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29"/>
        <w:gridCol w:w="4882"/>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11.10.2012</w:t>
            </w: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0E012F">
            <w:pPr>
              <w:rPr>
                <w:rFonts w:eastAsia="Times New Roman"/>
                <w:color w:val="000000"/>
                <w:lang w:val="uk-UA"/>
              </w:rPr>
            </w:pPr>
            <w:r>
              <w:rPr>
                <w:rFonts w:eastAsia="Times New Roman"/>
                <w:color w:val="000000"/>
                <w:lang w:val="uk-UA"/>
              </w:rPr>
              <w:t>Махкамова І.А. (044) 239-28-36</w:t>
            </w: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1367215843"/>
        <w:rPr>
          <w:rFonts w:ascii="Arial" w:eastAsia="Times New Roman" w:hAnsi="Arial" w:cs="Arial"/>
          <w:b/>
          <w:bCs/>
          <w:color w:val="000000"/>
          <w:lang w:val="uk-UA"/>
        </w:rPr>
      </w:pPr>
      <w:bookmarkStart w:id="29" w:name="pBanksCE"/>
      <w:bookmarkEnd w:id="29"/>
      <w:r>
        <w:rPr>
          <w:rFonts w:ascii="Arial" w:eastAsia="Times New Roman" w:hAnsi="Arial" w:cs="Arial"/>
          <w:b/>
          <w:bCs/>
          <w:color w:val="000000"/>
          <w:lang w:val="uk-UA"/>
        </w:rPr>
        <w:lastRenderedPageBreak/>
        <w:t>Звіт про зміни у власному капіталі</w:t>
      </w:r>
    </w:p>
    <w:p w:rsidR="00F1333F" w:rsidRDefault="000E012F">
      <w:pPr>
        <w:jc w:val="center"/>
        <w:divId w:val="96103225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2030830704"/>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0"/>
        <w:gridCol w:w="1170"/>
        <w:gridCol w:w="1077"/>
        <w:gridCol w:w="1280"/>
        <w:gridCol w:w="1100"/>
        <w:gridCol w:w="1061"/>
        <w:gridCol w:w="1183"/>
        <w:gridCol w:w="1115"/>
      </w:tblGrid>
      <w:tr w:rsidR="00F1333F">
        <w:trPr>
          <w:tblCellSpacing w:w="15" w:type="dxa"/>
        </w:trPr>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2500" w:type="pct"/>
            <w:gridSpan w:val="5"/>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Належить власникам банку</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Неконтро- льована частка</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власного капіталу</w:t>
            </w:r>
          </w:p>
        </w:tc>
      </w:tr>
      <w:tr w:rsidR="00F1333F">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статутний капітал</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емісійні різниці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резервні, інші фонди та резерви переоцінки</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нерозпо- ділений прибуток</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F1333F">
            <w:pPr>
              <w:rPr>
                <w:rFonts w:ascii="Arial" w:eastAsia="Times New Roman" w:hAnsi="Arial" w:cs="Arial"/>
                <w:b/>
                <w:bCs/>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Залишок на кінець періоду, що передує попередньому періоду (до перерахунку)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Вплив змін облікової політики, виправлення помилок та вплив переходу на нові та/ або переглянуті стандарти і тлумачення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залишок на початок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купівля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Залишок на кінець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купівля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Залишок на кінець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1397319888"/>
        <w:rPr>
          <w:rFonts w:ascii="Arial" w:eastAsia="Times New Roman" w:hAnsi="Arial" w:cs="Arial"/>
          <w:b/>
          <w:bCs/>
          <w:color w:val="000000"/>
          <w:lang w:val="uk-UA"/>
        </w:rPr>
      </w:pPr>
      <w:bookmarkStart w:id="30" w:name="pBanksPR"/>
      <w:bookmarkEnd w:id="30"/>
      <w:r>
        <w:rPr>
          <w:rFonts w:ascii="Arial" w:eastAsia="Times New Roman" w:hAnsi="Arial" w:cs="Arial"/>
          <w:b/>
          <w:bCs/>
          <w:color w:val="000000"/>
          <w:lang w:val="uk-UA"/>
        </w:rPr>
        <w:lastRenderedPageBreak/>
        <w:t>Звіт про рух грошових коштів за прямим методом</w:t>
      </w:r>
    </w:p>
    <w:p w:rsidR="00F1333F" w:rsidRDefault="000E012F">
      <w:pPr>
        <w:jc w:val="center"/>
        <w:divId w:val="764571378"/>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1867329346"/>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79"/>
        <w:gridCol w:w="2041"/>
        <w:gridCol w:w="2056"/>
      </w:tblGrid>
      <w:tr w:rsidR="00F1333F">
        <w:trPr>
          <w:tblCellSpacing w:w="15" w:type="dxa"/>
        </w:trPr>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торговими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отримані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Виплати на утримання персоналу,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сплачений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що отримані/(сплачені) від операційної діяльності, до змін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погашення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Придбання дочірніх компаній за мінусом отриманих грошових коштів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дочірньої компанії за мінусом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внески акціонерів, окрім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виплачені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виплати акціонерам, окрім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Вплив змін офіційного курсу Національного банку України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281621525"/>
        <w:rPr>
          <w:rFonts w:ascii="Arial" w:eastAsia="Times New Roman" w:hAnsi="Arial" w:cs="Arial"/>
          <w:b/>
          <w:bCs/>
          <w:color w:val="000000"/>
          <w:lang w:val="uk-UA"/>
        </w:rPr>
      </w:pPr>
      <w:bookmarkStart w:id="31" w:name="pBanksNP"/>
      <w:bookmarkEnd w:id="31"/>
      <w:r>
        <w:rPr>
          <w:rFonts w:ascii="Arial" w:eastAsia="Times New Roman" w:hAnsi="Arial" w:cs="Arial"/>
          <w:b/>
          <w:bCs/>
          <w:color w:val="000000"/>
          <w:lang w:val="uk-UA"/>
        </w:rPr>
        <w:lastRenderedPageBreak/>
        <w:t>Звіт про рух грошових коштів за непрямим методом</w:t>
      </w:r>
    </w:p>
    <w:p w:rsidR="00F1333F" w:rsidRDefault="000E012F">
      <w:pPr>
        <w:jc w:val="center"/>
        <w:divId w:val="67279970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3 квартал 2012 року</w:t>
      </w:r>
    </w:p>
    <w:p w:rsidR="00F1333F" w:rsidRDefault="000E012F">
      <w:pPr>
        <w:jc w:val="center"/>
        <w:divId w:val="586378171"/>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квартал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79"/>
        <w:gridCol w:w="2041"/>
        <w:gridCol w:w="2056"/>
      </w:tblGrid>
      <w:tr w:rsidR="00F1333F">
        <w:trPr>
          <w:tblCellSpacing w:w="15" w:type="dxa"/>
        </w:trPr>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F1333F" w:rsidRDefault="000E012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Коригування: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знос та амортизація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під знецінення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амортизація дисконту/(премії)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торговими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(нараховані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нараховані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збиток/(прибуток)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збиток/(прибуток)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рух коштів, що не є грошовим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грошовий прибуток/(збиток) від операційної діяльності до змін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операційної діяльності до сплати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сплачений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Надходження від погашення цінних паперів у портфелі банку до </w:t>
            </w:r>
            <w:r>
              <w:rPr>
                <w:rFonts w:ascii="Arial" w:eastAsia="Times New Roman" w:hAnsi="Arial" w:cs="Arial"/>
                <w:color w:val="000000"/>
                <w:sz w:val="19"/>
                <w:szCs w:val="19"/>
                <w:lang w:val="uk-UA"/>
              </w:rPr>
              <w:lastRenderedPageBreak/>
              <w:t>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Придбання дочірніх компаній за мінусом отриманих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дочірньої компанії за мінусом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внески акціонерів, окрім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виплачені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виплати акціонерам, окрім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Вплив змін офіційного курсу Національного банку України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r w:rsidR="00F1333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333F" w:rsidRDefault="000E012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F1333F" w:rsidRDefault="00F1333F">
            <w:pPr>
              <w:jc w:val="right"/>
              <w:rPr>
                <w:rFonts w:ascii="Arial" w:eastAsia="Times New Roman" w:hAnsi="Arial" w:cs="Arial"/>
                <w:color w:val="000000"/>
                <w:sz w:val="19"/>
                <w:szCs w:val="19"/>
                <w:lang w:val="uk-UA"/>
              </w:rPr>
            </w:pPr>
          </w:p>
        </w:tc>
      </w:tr>
    </w:tbl>
    <w:p w:rsidR="00F1333F" w:rsidRDefault="00F1333F">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F1333F" w:rsidRDefault="00F1333F">
            <w:pPr>
              <w:rPr>
                <w:rFonts w:eastAsia="Times New Roman"/>
                <w:color w:val="000000"/>
                <w:lang w:val="uk-UA"/>
              </w:rPr>
            </w:pPr>
          </w:p>
        </w:tc>
      </w:tr>
      <w:tr w:rsidR="00F1333F">
        <w:trPr>
          <w:tblCellSpacing w:w="15" w:type="dxa"/>
        </w:trPr>
        <w:tc>
          <w:tcPr>
            <w:tcW w:w="0" w:type="auto"/>
            <w:vAlign w:val="center"/>
            <w:hideMark/>
          </w:tcPr>
          <w:p w:rsidR="00F1333F" w:rsidRDefault="000E012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F1333F" w:rsidRDefault="00F1333F">
            <w:pPr>
              <w:rPr>
                <w:rFonts w:eastAsia="Times New Roman"/>
                <w:color w:val="000000"/>
                <w:lang w:val="uk-UA"/>
              </w:rPr>
            </w:pPr>
          </w:p>
        </w:tc>
      </w:tr>
    </w:tbl>
    <w:p w:rsidR="00F1333F" w:rsidRDefault="00F1333F">
      <w:pPr>
        <w:rPr>
          <w:rFonts w:eastAsia="Times New Roman"/>
          <w:color w:val="000000"/>
          <w:lang w:val="uk-UA"/>
        </w:rPr>
      </w:pPr>
    </w:p>
    <w:p w:rsidR="00F1333F" w:rsidRDefault="000E012F">
      <w:pPr>
        <w:pStyle w:val="pagebreak"/>
        <w:rPr>
          <w:color w:val="000000"/>
          <w:lang w:val="uk-UA"/>
        </w:rPr>
      </w:pPr>
      <w:r>
        <w:rPr>
          <w:color w:val="000000"/>
          <w:lang w:val="uk-UA"/>
        </w:rPr>
        <w:t> </w:t>
      </w:r>
    </w:p>
    <w:p w:rsidR="00F1333F" w:rsidRDefault="000E012F">
      <w:pPr>
        <w:pageBreakBefore/>
        <w:jc w:val="center"/>
        <w:divId w:val="435909853"/>
        <w:rPr>
          <w:rFonts w:ascii="Arial" w:eastAsia="Times New Roman" w:hAnsi="Arial" w:cs="Arial"/>
          <w:b/>
          <w:bCs/>
          <w:color w:val="000000"/>
          <w:lang w:val="uk-UA"/>
        </w:rPr>
      </w:pPr>
      <w:bookmarkStart w:id="32" w:name="pItemFinnotes"/>
      <w:bookmarkEnd w:id="32"/>
      <w:r>
        <w:rPr>
          <w:rFonts w:ascii="Arial" w:eastAsia="Times New Roman" w:hAnsi="Arial" w:cs="Arial"/>
          <w:b/>
          <w:bCs/>
          <w:color w:val="000000"/>
          <w:lang w:val="uk-UA"/>
        </w:rPr>
        <w:lastRenderedPageBreak/>
        <w:t>Примітки до звітів</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зв’язку з технічною неможливістю електронної системи комплексного розкриття інформації (ЕСКРІН) вірного відображення деяких даних у Звіті про прибутки та збитки за 3 кв. 2012 року, надаємо наступну інформацію: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перетин рядка «Результат від продажу цінних паперів у портфелі банку на продаж» та колонки «За відповідний квартал попереднього року» читати – (3 436);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перетин рядка «Відрахування до резервів за зобов'язаннями» та колонки «За відповідний квартал попереднього року» читати – 939;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перетин рядка «чистий прибуток/(збиток) на одну просту акцію» та колонки «За відповідний квартал попереднього року» читати – (0,53).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складає та оприлюднює квартальну фінансову звітність відповідно до Інструкції про порядок складання та оприлюднення фінансової звітності банків України, затвердженої Постановою Правління НБУ від 24.10.11 р. № 373 (із змінами та доповненнями), яка розроблена відповідно до Законів України "Про банки і банківську діяльність", "Про бухгалтерський облік та фінансову звітність в Україні", "Про Національний банк України" і ґрунтується на вимогах міжнародних стандартів фінансової звітності (далі - МСФЗ) щодо розкриття інформації у фінансовій звітності.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до складу проміжної фінансової звітності включає: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Звіт про фінансовий стан (Баланс);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Звіт про прибутки і збитки та інший сукупний дохід (Звіт про фінансові результати);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Окремі примітки: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Дивіденди;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Потенційні зобов'язання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Окремі показники діяльності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Примітка. “Дивіденди АБ “УКРГАЗБАНК” за третій квартал 2012 року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Залишок за станом на початок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простими акціями - 109;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простими акціями – 109;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Дивіденди, за якими прийнято рішення щодо виплати протягом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Дивіденди, виплачені протягом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Залишок за станом на кінець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простими акціями - 109;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простими акціями – 109;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Дивіденди на акцію, за якими прийнято рішення щодо виплати протягом періоду: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простими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 привілейованими акціями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Примітка. “Потенційні зобов’язання АБ “УКРГАЗБАНК” за третій квартал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 розгляд справ у суді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процесі діяльності Банку клієнти та контрагенти висувають до Банку претензії. Керівництво вважає, що в результаті розгляду таких претензій Банк не понесе істотних збитків і, відповідно, додатково резерви станом на кінець дня 30.09.2012 р. та 31.12.2011 р. не створювалися.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 потенційні податкові зобов'язання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Політика Банку по веденню податкового обліку спрямована на дотримання принципів обережності та обачливості. В зв’язку з чим Банк не передбачає ризиків, пов’язаних з виникненням потенційних податкових зобов’язань та, відповідно, станом на кінець дня 30.09.2012 р. та 31.12.2011 р. не здійснює оцінку їх фінансового впливу, оцінку невизначеності з можливими подальшими змінами зазначених зобов’язань.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зобов'язання за капітальними інвестиціями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Контрактні зобов’язання, пов’язані із реконструкцією будівель у Банку відсутні.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 Банк має контрактні зобов’язання, пов’язані з придбанням основних засобів та нематеріальних активів, на загальну суму 501,21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 зобов'язання оперативного лізингу (оренди)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Таблиця 1. Майбутні мінімальні орендні платежі за невідмовним договором про оперативний лізинг (оренду)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До 1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Від 1 до 5 років: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Понад 5 років: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Усього: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 та 31.12.2011 р. Банк не має невідмовних угод про суборенду.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ґ) дотримання особливих вимог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 вимоги щодо дотримання певних умов за отриманими позиковими коштами Банком виконуються.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 зобов'язання з кредитування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Позабалансові кредитні зобов’язання являють собою невикористані кредитні лінії, гарантії або акредитиви. Кредитний ризик по фінансовим інструментам, які обліковуються на позабалансових рахунках, визначаються як ймовірність втрат через неспроможність позичальника дотримуватись умов і строків контракту. По відношенню до кредитного ризику, пов’язаного з позабалансовими фінансовими інструментами, Банк потенційно несе збиток, рівний загальній сумі невикористаних кредитних ліній. Однак ймовірна сума збитку є нижчою, ніж загальна сума невикористаних зобов’язань, оскільки у більшості випадків виникнення зобов’язань по наданню кредиту залежить від того, чи відповідають клієнти особливим стандартам кредитоспроможності. Банк використовує таку ж кредитну політику по відношенню до умовних зобов’язань, що і для відображених в балансі фінансових інструментів, основану на процедурах затвердження видачі позик, тобто: використання лімітів, які обмежують ризик, та поточний моніторинг.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Таблиця 2. Структура зобов'язань з кредитування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 Зобов'язання з кредитування, що надані: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65 867;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142 704.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Невикористані кредитні лінії: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387 233;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252 778.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Експортні акредитиви: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Імпортні акредитиви: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Гарантії видані: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34 477;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28 975.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Інші: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Резерв за зобов'язаннями, що пов'язані з кредитуванням: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(2 001);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(1 106).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Усього зобов'язань, що пов'язані з кредитуванням, за мінусом резерву: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485 576;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423 351.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Таблиця 3. Зобов'язання з кредитування у розрізі валют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Гривня: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398 667;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367 900.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Долар США: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80 168;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54 182.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Євро: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4 691;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1 269.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Інші: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2 050;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Усього: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 485 576;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 423 351.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30.09.2012 р. та 31.12.2011 р. у Банку відсутні асоційовані компанії.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 активи, що надані в заставу, та активи, щодо яких є обмеження, пов'язане з володінням, користуванням та розпорядженням ними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Таблиця 4. Активи, що надані в заставу без припинення визнання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Торгові цінні папери: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305 304;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302 097;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12 306;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12 145.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Цінні папери в портфелі банку на продаж: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1 528 304;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1 418 201;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1 240 493;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Попередній період забезпечене зобов’язання – 1 193 854.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Цінні папери в портфелі банку до погашення: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Інвестиційна нерухомість: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Основні засоби: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439 168;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344 700;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447 693;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344 700.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Інші: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7 630 605;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5 247 983;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10 628 156;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5 925 933.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6.1. Майнові права на грошові депозити та іменні грошові сертифікати: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2 159 261;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2 159 632;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2 595 651;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2 609 513.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6.2. Майнові права на інші об’єкти застави (кредити юридичних та фізичних осіб):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1 830 384;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554 951;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4 391 545;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621 020.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6.3. Акції банку, що належать іншим компаніям – пов’язаним сторонам: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3 640 960;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2 533 400;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3 640 960;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2 695 400.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Усього: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активи надані в заставу – 9 903 381;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Звітний період забезпечене зобов’язання – 7 312 981;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активи надані в заставу – 12 328 648;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Попередній період забезпечене зобов’язання – 7 476 632.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Згідно зі Статтею 17 «Право розпорядження заставним майном» Закону України «Про заставу», введеного Постановою Верховної Ради Україні за № 2655-XII від 2 жовтня 1992 року із змінами і доповненнями, внесеними Законами України, Банк, як заставодавець, може відчужувати заставне майно тільки за згодою заставодержателя. Інших обмежень щодо заставного майна Банк не має.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30.09.2012 р. та 31.12.2011 р. балансова вартість наданих у заставу без припинення визнання: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основних засобів – 301 353 тис. грн. та 343 028 тис. грн., відповідно;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акцій банку, що належать іншим компаніям – пов’язаним сторонам – 3 640 960 тис. грн. та 3 640 960 тис. грн., відповідно;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цінних паперів – 1 799 368 тис. грн. та 1 424 849 тис. грн., відповідно.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Примітка. Окремі показники діяльності банку АБ “УКРГАЗБАНК” за третій квартал 2012 року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Регулятивний капітал банку (тис. грн.)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2 998 222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Нормативні показники – не менше 120 000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Достатність (адекватність) регулятивного капіталу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18,74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менше 10%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Співвідношення регулятивного капіталу до сукупних активів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11,52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менше 9%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Поточна ліквідність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55,64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менше 40%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Максимальний розмір кредитного ризику на одного контрагента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18,61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більше 25%*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Великі кредитні ризики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302,08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більше 800%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Максимальний розмір кредитів, гарантій та поручительств, наданих одному інсайдеру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0,01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більше 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Максимальний сукупний розмір кредитів, гарантій та поручительств, наданих інсайдерам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0,15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не більше 30%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Рентабельність активів (%):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2,01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Кредитні операції, що класифіковані як "стандартні"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4 715 197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 Сформований резерв за такими операціями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11 030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Кредитні операції, що класифіковані як "під контролем"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5 502 207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11.1. Сформований резерв за такими операціями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32 404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Кредитні операції, що класифіковані як "субстандартні"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842 845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12.1. Сформований резерв за такими операціями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98 556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Кредитні операції, що класифіковані як "сумнівні"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405 457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 Сформований резерв за такими операціями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128 190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Кредитні операції, що класифіковані як "безнадійні"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4 922 910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14.1. Сформований резерв за такими операціями (тис.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4 919 611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Чистий прибуток на одну просту акцію (грн.):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На звітну дату – 0,03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Сума сплачених дивідендів за 2011 рік на одну: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16.1. Просту акцію: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16.2. Привілейовану акцію: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Перелік учасників (акціонерів) банку, які прямо та опосередковано володіють 10 і більше відсотками статутного капіталу банку.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звітну дату – Міністерство фінансів України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Код країни 804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пряма участь - 92,9998%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опосередкована участь – 0,00%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Загальний відсоток 92,9998% </w:t>
      </w:r>
    </w:p>
    <w:p w:rsidR="00F1333F" w:rsidRDefault="000E012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Нормативні показники - х </w:t>
      </w:r>
    </w:p>
    <w:p w:rsidR="00F1333F" w:rsidRDefault="000E012F">
      <w:pPr>
        <w:pStyle w:val="z-1"/>
        <w:rPr>
          <w:lang w:val="uk-UA"/>
        </w:rPr>
      </w:pPr>
      <w:r>
        <w:rPr>
          <w:lang w:val="uk-UA"/>
        </w:rPr>
        <w:t>Конец формы</w:t>
      </w:r>
    </w:p>
    <w:sectPr w:rsidR="00F1333F">
      <w:pgSz w:w="11906" w:h="16838"/>
      <w:pgMar w:top="1134" w:right="851" w:bottom="1134"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C6" w:rsidRDefault="00B130C6">
      <w:r>
        <w:separator/>
      </w:r>
    </w:p>
  </w:endnote>
  <w:endnote w:type="continuationSeparator" w:id="0">
    <w:p w:rsidR="00B130C6" w:rsidRDefault="00B1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20670"/>
      <w:docPartObj>
        <w:docPartGallery w:val="Page Numbers (Bottom of Page)"/>
        <w:docPartUnique/>
      </w:docPartObj>
    </w:sdtPr>
    <w:sdtEndPr/>
    <w:sdtContent>
      <w:p w:rsidR="00F1333F" w:rsidRDefault="000E012F">
        <w:pPr>
          <w:pStyle w:val="a8"/>
          <w:jc w:val="right"/>
        </w:pPr>
        <w:r>
          <w:fldChar w:fldCharType="begin"/>
        </w:r>
        <w:r>
          <w:instrText>PAGE   \* MERGEFORMAT</w:instrText>
        </w:r>
        <w:r>
          <w:fldChar w:fldCharType="separate"/>
        </w:r>
        <w:r w:rsidR="00B80428">
          <w:rPr>
            <w:noProof/>
          </w:rPr>
          <w:t>35</w:t>
        </w:r>
        <w:r>
          <w:fldChar w:fldCharType="end"/>
        </w:r>
      </w:p>
    </w:sdtContent>
  </w:sdt>
  <w:p w:rsidR="00F1333F" w:rsidRDefault="00F133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60865"/>
      <w:docPartObj>
        <w:docPartGallery w:val="Page Numbers (Bottom of Page)"/>
        <w:docPartUnique/>
      </w:docPartObj>
    </w:sdtPr>
    <w:sdtEndPr/>
    <w:sdtContent>
      <w:p w:rsidR="00F1333F" w:rsidRDefault="000E012F">
        <w:pPr>
          <w:pStyle w:val="a8"/>
          <w:jc w:val="right"/>
        </w:pPr>
        <w:r>
          <w:fldChar w:fldCharType="begin"/>
        </w:r>
        <w:r>
          <w:instrText>PAGE   \* MERGEFORMAT</w:instrText>
        </w:r>
        <w:r>
          <w:fldChar w:fldCharType="separate"/>
        </w:r>
        <w:r w:rsidR="00B80428">
          <w:rPr>
            <w:noProof/>
          </w:rPr>
          <w:t>49</w:t>
        </w:r>
        <w:r>
          <w:fldChar w:fldCharType="end"/>
        </w:r>
      </w:p>
    </w:sdtContent>
  </w:sdt>
  <w:p w:rsidR="00F1333F" w:rsidRDefault="00F1333F">
    <w:pPr>
      <w:pStyle w:val="a8"/>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C6" w:rsidRDefault="00B130C6">
      <w:r>
        <w:separator/>
      </w:r>
    </w:p>
  </w:footnote>
  <w:footnote w:type="continuationSeparator" w:id="0">
    <w:p w:rsidR="00B130C6" w:rsidRDefault="00B13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1333F"/>
    <w:rsid w:val="000E012F"/>
    <w:rsid w:val="00157721"/>
    <w:rsid w:val="00683276"/>
    <w:rsid w:val="0068421A"/>
    <w:rsid w:val="007C06C2"/>
    <w:rsid w:val="00B130C6"/>
    <w:rsid w:val="00B80428"/>
    <w:rsid w:val="00CA2639"/>
    <w:rsid w:val="00D54BF9"/>
    <w:rsid w:val="00F1333F"/>
    <w:rsid w:val="00FE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FF"/>
      <w:u w:val="single"/>
    </w:rPr>
  </w:style>
  <w:style w:type="paragraph" w:styleId="a5">
    <w:name w:val="Normal (Web)"/>
    <w:basedOn w:val="a"/>
    <w:uiPriority w:val="99"/>
    <w:semiHidden/>
    <w:unhideWhenUsed/>
    <w:pPr>
      <w:spacing w:before="100" w:beforeAutospacing="1" w:after="100" w:afterAutospacing="1"/>
    </w:pPr>
    <w:rPr>
      <w:rFonts w:ascii="Arial" w:hAnsi="Arial" w:cs="Arial"/>
      <w:sz w:val="22"/>
      <w:szCs w:val="22"/>
    </w:rPr>
  </w:style>
  <w:style w:type="paragraph" w:customStyle="1" w:styleId="tblstd">
    <w:name w:val="tblstd"/>
    <w:basedOn w:val="a"/>
    <w:pPr>
      <w:spacing w:before="100" w:beforeAutospacing="1" w:after="100" w:afterAutospacing="1"/>
    </w:pPr>
    <w:rPr>
      <w:rFonts w:ascii="Arial" w:hAnsi="Arial" w:cs="Arial"/>
      <w:sz w:val="22"/>
      <w:szCs w:val="22"/>
    </w:rPr>
  </w:style>
  <w:style w:type="paragraph" w:customStyle="1" w:styleId="tbl">
    <w:name w:val="tbl"/>
    <w:basedOn w:val="a"/>
    <w:pPr>
      <w:spacing w:before="100" w:beforeAutospacing="1" w:after="100" w:afterAutospacing="1"/>
    </w:pPr>
    <w:rPr>
      <w:rFonts w:ascii="Arial" w:hAnsi="Arial" w:cs="Arial"/>
      <w:sz w:val="22"/>
      <w:szCs w:val="22"/>
    </w:rPr>
  </w:style>
  <w:style w:type="paragraph" w:customStyle="1" w:styleId="reporttext">
    <w:name w:val="reporttext"/>
    <w:basedOn w:val="a"/>
    <w:pPr>
      <w:spacing w:before="100" w:beforeAutospacing="1" w:after="100" w:afterAutospacing="1"/>
      <w:jc w:val="both"/>
    </w:pPr>
    <w:rPr>
      <w:rFonts w:ascii="Arial" w:hAnsi="Arial" w:cs="Arial"/>
      <w:sz w:val="22"/>
      <w:szCs w:val="22"/>
    </w:rPr>
  </w:style>
  <w:style w:type="paragraph" w:customStyle="1" w:styleId="num">
    <w:name w:val="num"/>
    <w:basedOn w:val="a"/>
    <w:pPr>
      <w:shd w:val="clear" w:color="auto" w:fill="FFFFFF"/>
      <w:spacing w:before="100" w:beforeAutospacing="1" w:after="100" w:afterAutospacing="1"/>
    </w:pPr>
    <w:rPr>
      <w:rFonts w:ascii="Arial" w:hAnsi="Arial" w:cs="Arial"/>
      <w:sz w:val="22"/>
      <w:szCs w:val="22"/>
    </w:rPr>
  </w:style>
  <w:style w:type="paragraph" w:customStyle="1" w:styleId="tblheader">
    <w:name w:val="tblheader"/>
    <w:basedOn w:val="a"/>
    <w:pPr>
      <w:shd w:val="clear" w:color="auto" w:fill="ABC4FF"/>
      <w:spacing w:before="100" w:beforeAutospacing="1" w:after="100" w:afterAutospacing="1"/>
      <w:jc w:val="center"/>
    </w:pPr>
    <w:rPr>
      <w:rFonts w:ascii="Arial" w:hAnsi="Arial" w:cs="Arial"/>
      <w:b/>
      <w:bCs/>
      <w:sz w:val="19"/>
      <w:szCs w:val="19"/>
    </w:rPr>
  </w:style>
  <w:style w:type="paragraph" w:customStyle="1" w:styleId="h3formtitul">
    <w:name w:val="h3formtitul"/>
    <w:basedOn w:val="a"/>
    <w:pPr>
      <w:spacing w:before="180" w:after="180"/>
      <w:jc w:val="center"/>
      <w:textAlignment w:val="center"/>
    </w:pPr>
    <w:rPr>
      <w:rFonts w:ascii="Arial" w:hAnsi="Arial" w:cs="Arial"/>
      <w:b/>
      <w:bCs/>
    </w:rPr>
  </w:style>
  <w:style w:type="paragraph" w:customStyle="1" w:styleId="h3">
    <w:name w:val="h3"/>
    <w:basedOn w:val="a"/>
    <w:pPr>
      <w:pageBreakBefore/>
      <w:spacing w:before="180" w:after="180"/>
      <w:jc w:val="center"/>
      <w:textAlignment w:val="center"/>
    </w:pPr>
    <w:rPr>
      <w:rFonts w:ascii="Arial" w:hAnsi="Arial" w:cs="Arial"/>
      <w:b/>
      <w:bCs/>
    </w:rPr>
  </w:style>
  <w:style w:type="paragraph" w:customStyle="1" w:styleId="11">
    <w:name w:val="Верхний колонтитул1"/>
    <w:basedOn w:val="a"/>
    <w:pPr>
      <w:pageBreakBefore/>
      <w:spacing w:before="150" w:after="150"/>
      <w:jc w:val="center"/>
    </w:pPr>
    <w:rPr>
      <w:rFonts w:ascii="Arial" w:hAnsi="Arial" w:cs="Arial"/>
      <w:b/>
      <w:bCs/>
    </w:rPr>
  </w:style>
  <w:style w:type="paragraph" w:customStyle="1" w:styleId="subheader">
    <w:name w:val="subheader"/>
    <w:basedOn w:val="a"/>
    <w:pPr>
      <w:spacing w:before="150" w:after="150"/>
      <w:jc w:val="center"/>
    </w:pPr>
    <w:rPr>
      <w:rFonts w:ascii="Arial" w:hAnsi="Arial" w:cs="Arial"/>
      <w:b/>
      <w:bCs/>
      <w:sz w:val="22"/>
      <w:szCs w:val="22"/>
    </w:rPr>
  </w:style>
  <w:style w:type="paragraph" w:customStyle="1" w:styleId="notes">
    <w:name w:val="notes"/>
    <w:basedOn w:val="a"/>
    <w:pPr>
      <w:spacing w:before="100" w:beforeAutospacing="1" w:after="100" w:afterAutospacing="1"/>
    </w:pPr>
    <w:rPr>
      <w:rFonts w:ascii="Arial" w:hAnsi="Arial" w:cs="Arial"/>
      <w:b/>
      <w:bCs/>
      <w:i/>
      <w:iCs/>
      <w:sz w:val="22"/>
      <w:szCs w:val="22"/>
    </w:rPr>
  </w:style>
  <w:style w:type="paragraph" w:customStyle="1" w:styleId="titulbold">
    <w:name w:val="titulbold"/>
    <w:basedOn w:val="a"/>
    <w:pPr>
      <w:spacing w:before="150" w:after="150"/>
    </w:pPr>
    <w:rPr>
      <w:rFonts w:ascii="Arial" w:hAnsi="Arial" w:cs="Arial"/>
      <w:b/>
      <w:bCs/>
      <w:sz w:val="22"/>
      <w:szCs w:val="22"/>
    </w:rPr>
  </w:style>
  <w:style w:type="paragraph" w:customStyle="1" w:styleId="list1">
    <w:name w:val="list1"/>
    <w:basedOn w:val="a"/>
    <w:pPr>
      <w:spacing w:before="100" w:beforeAutospacing="1" w:after="100" w:afterAutospacing="1"/>
    </w:pPr>
    <w:rPr>
      <w:rFonts w:ascii="Arial" w:hAnsi="Arial" w:cs="Arial"/>
      <w:sz w:val="22"/>
      <w:szCs w:val="22"/>
    </w:rPr>
  </w:style>
  <w:style w:type="paragraph" w:customStyle="1" w:styleId="list2">
    <w:name w:val="list2"/>
    <w:basedOn w:val="a"/>
    <w:pPr>
      <w:spacing w:before="100" w:beforeAutospacing="1" w:after="100" w:afterAutospacing="1"/>
    </w:pPr>
    <w:rPr>
      <w:rFonts w:ascii="Arial" w:hAnsi="Arial" w:cs="Arial"/>
      <w:sz w:val="19"/>
      <w:szCs w:val="19"/>
    </w:rPr>
  </w:style>
  <w:style w:type="paragraph" w:customStyle="1" w:styleId="list3">
    <w:name w:val="list3"/>
    <w:basedOn w:val="a"/>
    <w:pPr>
      <w:spacing w:before="100" w:beforeAutospacing="1" w:after="100" w:afterAutospacing="1"/>
      <w:jc w:val="right"/>
    </w:pPr>
    <w:rPr>
      <w:rFonts w:ascii="Arial" w:hAnsi="Arial" w:cs="Arial"/>
      <w:sz w:val="17"/>
      <w:szCs w:val="17"/>
    </w:rPr>
  </w:style>
  <w:style w:type="paragraph" w:customStyle="1" w:styleId="smalledit">
    <w:name w:val="smalledit"/>
    <w:basedOn w:val="a"/>
    <w:pPr>
      <w:spacing w:before="100" w:beforeAutospacing="1" w:after="100" w:afterAutospacing="1"/>
    </w:pPr>
    <w:rPr>
      <w:rFonts w:ascii="Arial" w:hAnsi="Arial" w:cs="Arial"/>
      <w:sz w:val="19"/>
      <w:szCs w:val="19"/>
    </w:rPr>
  </w:style>
  <w:style w:type="paragraph" w:customStyle="1" w:styleId="smalleditr">
    <w:name w:val="smalledit_r"/>
    <w:basedOn w:val="a"/>
    <w:pPr>
      <w:spacing w:before="100" w:beforeAutospacing="1" w:after="100" w:afterAutospacing="1"/>
      <w:jc w:val="right"/>
    </w:pPr>
    <w:rPr>
      <w:rFonts w:ascii="Arial" w:hAnsi="Arial" w:cs="Arial"/>
      <w:sz w:val="19"/>
      <w:szCs w:val="19"/>
    </w:rPr>
  </w:style>
  <w:style w:type="paragraph" w:customStyle="1" w:styleId="smalleditl">
    <w:name w:val="smalledit_l"/>
    <w:basedOn w:val="a"/>
    <w:pPr>
      <w:spacing w:before="100" w:beforeAutospacing="1" w:after="100" w:afterAutospacing="1"/>
    </w:pPr>
    <w:rPr>
      <w:rFonts w:ascii="Arial" w:hAnsi="Arial" w:cs="Arial"/>
      <w:sz w:val="19"/>
      <w:szCs w:val="19"/>
    </w:rPr>
  </w:style>
  <w:style w:type="paragraph" w:customStyle="1" w:styleId="smalleditc">
    <w:name w:val="smalledit_c"/>
    <w:basedOn w:val="a"/>
    <w:pPr>
      <w:spacing w:before="100" w:beforeAutospacing="1" w:after="100" w:afterAutospacing="1"/>
      <w:jc w:val="center"/>
    </w:pPr>
    <w:rPr>
      <w:rFonts w:ascii="Arial" w:hAnsi="Arial" w:cs="Arial"/>
      <w:sz w:val="19"/>
      <w:szCs w:val="19"/>
    </w:rPr>
  </w:style>
  <w:style w:type="paragraph" w:customStyle="1" w:styleId="smallediti">
    <w:name w:val="smalledit_i"/>
    <w:basedOn w:val="a"/>
    <w:pPr>
      <w:spacing w:before="100" w:beforeAutospacing="1" w:after="100" w:afterAutospacing="1"/>
    </w:pPr>
    <w:rPr>
      <w:rFonts w:ascii="Arial" w:hAnsi="Arial" w:cs="Arial"/>
      <w:b/>
      <w:bCs/>
      <w:sz w:val="19"/>
      <w:szCs w:val="19"/>
    </w:rPr>
  </w:style>
  <w:style w:type="paragraph" w:customStyle="1" w:styleId="sedit">
    <w:name w:val="s_edit"/>
    <w:basedOn w:val="a"/>
    <w:pPr>
      <w:spacing w:before="100" w:beforeAutospacing="1" w:after="100" w:afterAutospacing="1"/>
    </w:pPr>
    <w:rPr>
      <w:rFonts w:ascii="Arial" w:hAnsi="Arial" w:cs="Arial"/>
      <w:sz w:val="19"/>
      <w:szCs w:val="19"/>
    </w:rPr>
  </w:style>
  <w:style w:type="paragraph" w:customStyle="1" w:styleId="seditcombo">
    <w:name w:val="s_edit_combo"/>
    <w:basedOn w:val="a"/>
    <w:pPr>
      <w:spacing w:before="100" w:beforeAutospacing="1" w:after="100" w:afterAutospacing="1"/>
    </w:pPr>
    <w:rPr>
      <w:rFonts w:ascii="Arial" w:hAnsi="Arial" w:cs="Arial"/>
      <w:sz w:val="19"/>
      <w:szCs w:val="19"/>
    </w:rPr>
  </w:style>
  <w:style w:type="paragraph" w:customStyle="1" w:styleId="number">
    <w:name w:val="number"/>
    <w:basedOn w:val="a"/>
    <w:pPr>
      <w:pBdr>
        <w:top w:val="single" w:sz="6" w:space="0" w:color="646899"/>
        <w:left w:val="single" w:sz="6" w:space="0" w:color="646899"/>
        <w:bottom w:val="single" w:sz="6" w:space="0" w:color="000080"/>
        <w:right w:val="single" w:sz="6" w:space="0" w:color="000080"/>
      </w:pBdr>
      <w:spacing w:before="100" w:beforeAutospacing="1" w:after="100" w:afterAutospacing="1"/>
      <w:jc w:val="right"/>
    </w:pPr>
    <w:rPr>
      <w:rFonts w:ascii="Arial" w:hAnsi="Arial" w:cs="Arial"/>
      <w:sz w:val="19"/>
      <w:szCs w:val="19"/>
    </w:rPr>
  </w:style>
  <w:style w:type="paragraph" w:customStyle="1" w:styleId="numbernoborder">
    <w:name w:val="numbernoborder"/>
    <w:basedOn w:val="a"/>
    <w:pPr>
      <w:spacing w:before="100" w:beforeAutospacing="1" w:after="100" w:afterAutospacing="1"/>
      <w:jc w:val="right"/>
    </w:pPr>
    <w:rPr>
      <w:rFonts w:ascii="Arial" w:hAnsi="Arial" w:cs="Arial"/>
      <w:sz w:val="19"/>
      <w:szCs w:val="19"/>
    </w:rPr>
  </w:style>
  <w:style w:type="paragraph" w:customStyle="1" w:styleId="sedithidden">
    <w:name w:val="s_edithidden"/>
    <w:basedOn w:val="a"/>
    <w:pPr>
      <w:pBdr>
        <w:top w:val="single" w:sz="6" w:space="0" w:color="646899"/>
        <w:left w:val="single" w:sz="6" w:space="0" w:color="646899"/>
        <w:bottom w:val="single" w:sz="6" w:space="0" w:color="000080"/>
        <w:right w:val="single" w:sz="6" w:space="0" w:color="000080"/>
      </w:pBdr>
      <w:spacing w:before="100" w:beforeAutospacing="1" w:after="100" w:afterAutospacing="1"/>
    </w:pPr>
    <w:rPr>
      <w:rFonts w:ascii="Arial" w:hAnsi="Arial" w:cs="Arial"/>
      <w:vanish/>
      <w:sz w:val="16"/>
      <w:szCs w:val="16"/>
    </w:rPr>
  </w:style>
  <w:style w:type="paragraph" w:customStyle="1" w:styleId="txtarea">
    <w:name w:val="txtarea"/>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Arial" w:hAnsi="Arial" w:cs="Arial"/>
      <w:sz w:val="22"/>
      <w:szCs w:val="22"/>
    </w:rPr>
  </w:style>
  <w:style w:type="paragraph" w:customStyle="1" w:styleId="warning">
    <w:name w:val="warning"/>
    <w:basedOn w:val="a"/>
    <w:pPr>
      <w:spacing w:before="180" w:after="180"/>
      <w:jc w:val="center"/>
    </w:pPr>
    <w:rPr>
      <w:rFonts w:ascii="Arial" w:hAnsi="Arial" w:cs="Arial"/>
      <w:b/>
      <w:bCs/>
    </w:rPr>
  </w:style>
  <w:style w:type="paragraph" w:customStyle="1" w:styleId="sedit1">
    <w:name w:val="s_edit1"/>
    <w:basedOn w:val="a"/>
    <w:pPr>
      <w:spacing w:before="100" w:beforeAutospacing="1" w:after="100" w:afterAutospacing="1"/>
    </w:pPr>
    <w:rPr>
      <w:rFonts w:ascii="Arial" w:hAnsi="Arial" w:cs="Arial"/>
      <w:sz w:val="19"/>
      <w:szCs w:val="19"/>
    </w:rPr>
  </w:style>
  <w:style w:type="paragraph" w:customStyle="1" w:styleId="seditr">
    <w:name w:val="s_edit_r"/>
    <w:basedOn w:val="a"/>
    <w:pPr>
      <w:spacing w:before="100" w:beforeAutospacing="1" w:after="100" w:afterAutospacing="1"/>
      <w:jc w:val="right"/>
    </w:pPr>
    <w:rPr>
      <w:rFonts w:ascii="Arial" w:hAnsi="Arial" w:cs="Arial"/>
      <w:sz w:val="19"/>
      <w:szCs w:val="19"/>
    </w:rPr>
  </w:style>
  <w:style w:type="paragraph" w:customStyle="1" w:styleId="seditl">
    <w:name w:val="s_edit_l"/>
    <w:basedOn w:val="a"/>
    <w:pPr>
      <w:spacing w:before="100" w:beforeAutospacing="1" w:after="100" w:afterAutospacing="1"/>
    </w:pPr>
    <w:rPr>
      <w:rFonts w:ascii="Arial" w:hAnsi="Arial" w:cs="Arial"/>
      <w:sz w:val="19"/>
      <w:szCs w:val="19"/>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customStyle="1" w:styleId="pagebreak">
    <w:name w:val="pagebreak"/>
    <w:basedOn w:val="a"/>
    <w:pPr>
      <w:spacing w:before="100" w:beforeAutospacing="1" w:after="100" w:afterAutospacing="1"/>
    </w:pPr>
    <w:rPr>
      <w:rFonts w:ascii="Arial" w:hAnsi="Arial" w:cs="Arial"/>
      <w:sz w:val="22"/>
      <w:szCs w:val="22"/>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eastAsiaTheme="minorEastAsia"/>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FF"/>
      <w:u w:val="single"/>
    </w:rPr>
  </w:style>
  <w:style w:type="paragraph" w:styleId="a5">
    <w:name w:val="Normal (Web)"/>
    <w:basedOn w:val="a"/>
    <w:uiPriority w:val="99"/>
    <w:semiHidden/>
    <w:unhideWhenUsed/>
    <w:pPr>
      <w:spacing w:before="100" w:beforeAutospacing="1" w:after="100" w:afterAutospacing="1"/>
    </w:pPr>
    <w:rPr>
      <w:rFonts w:ascii="Arial" w:hAnsi="Arial" w:cs="Arial"/>
      <w:sz w:val="22"/>
      <w:szCs w:val="22"/>
    </w:rPr>
  </w:style>
  <w:style w:type="paragraph" w:customStyle="1" w:styleId="tblstd">
    <w:name w:val="tblstd"/>
    <w:basedOn w:val="a"/>
    <w:pPr>
      <w:spacing w:before="100" w:beforeAutospacing="1" w:after="100" w:afterAutospacing="1"/>
    </w:pPr>
    <w:rPr>
      <w:rFonts w:ascii="Arial" w:hAnsi="Arial" w:cs="Arial"/>
      <w:sz w:val="22"/>
      <w:szCs w:val="22"/>
    </w:rPr>
  </w:style>
  <w:style w:type="paragraph" w:customStyle="1" w:styleId="tbl">
    <w:name w:val="tbl"/>
    <w:basedOn w:val="a"/>
    <w:pPr>
      <w:spacing w:before="100" w:beforeAutospacing="1" w:after="100" w:afterAutospacing="1"/>
    </w:pPr>
    <w:rPr>
      <w:rFonts w:ascii="Arial" w:hAnsi="Arial" w:cs="Arial"/>
      <w:sz w:val="22"/>
      <w:szCs w:val="22"/>
    </w:rPr>
  </w:style>
  <w:style w:type="paragraph" w:customStyle="1" w:styleId="reporttext">
    <w:name w:val="reporttext"/>
    <w:basedOn w:val="a"/>
    <w:pPr>
      <w:spacing w:before="100" w:beforeAutospacing="1" w:after="100" w:afterAutospacing="1"/>
      <w:jc w:val="both"/>
    </w:pPr>
    <w:rPr>
      <w:rFonts w:ascii="Arial" w:hAnsi="Arial" w:cs="Arial"/>
      <w:sz w:val="22"/>
      <w:szCs w:val="22"/>
    </w:rPr>
  </w:style>
  <w:style w:type="paragraph" w:customStyle="1" w:styleId="num">
    <w:name w:val="num"/>
    <w:basedOn w:val="a"/>
    <w:pPr>
      <w:shd w:val="clear" w:color="auto" w:fill="FFFFFF"/>
      <w:spacing w:before="100" w:beforeAutospacing="1" w:after="100" w:afterAutospacing="1"/>
    </w:pPr>
    <w:rPr>
      <w:rFonts w:ascii="Arial" w:hAnsi="Arial" w:cs="Arial"/>
      <w:sz w:val="22"/>
      <w:szCs w:val="22"/>
    </w:rPr>
  </w:style>
  <w:style w:type="paragraph" w:customStyle="1" w:styleId="tblheader">
    <w:name w:val="tblheader"/>
    <w:basedOn w:val="a"/>
    <w:pPr>
      <w:shd w:val="clear" w:color="auto" w:fill="ABC4FF"/>
      <w:spacing w:before="100" w:beforeAutospacing="1" w:after="100" w:afterAutospacing="1"/>
      <w:jc w:val="center"/>
    </w:pPr>
    <w:rPr>
      <w:rFonts w:ascii="Arial" w:hAnsi="Arial" w:cs="Arial"/>
      <w:b/>
      <w:bCs/>
      <w:sz w:val="19"/>
      <w:szCs w:val="19"/>
    </w:rPr>
  </w:style>
  <w:style w:type="paragraph" w:customStyle="1" w:styleId="h3formtitul">
    <w:name w:val="h3formtitul"/>
    <w:basedOn w:val="a"/>
    <w:pPr>
      <w:spacing w:before="180" w:after="180"/>
      <w:jc w:val="center"/>
      <w:textAlignment w:val="center"/>
    </w:pPr>
    <w:rPr>
      <w:rFonts w:ascii="Arial" w:hAnsi="Arial" w:cs="Arial"/>
      <w:b/>
      <w:bCs/>
    </w:rPr>
  </w:style>
  <w:style w:type="paragraph" w:customStyle="1" w:styleId="h3">
    <w:name w:val="h3"/>
    <w:basedOn w:val="a"/>
    <w:pPr>
      <w:pageBreakBefore/>
      <w:spacing w:before="180" w:after="180"/>
      <w:jc w:val="center"/>
      <w:textAlignment w:val="center"/>
    </w:pPr>
    <w:rPr>
      <w:rFonts w:ascii="Arial" w:hAnsi="Arial" w:cs="Arial"/>
      <w:b/>
      <w:bCs/>
    </w:rPr>
  </w:style>
  <w:style w:type="paragraph" w:customStyle="1" w:styleId="11">
    <w:name w:val="Верхний колонтитул1"/>
    <w:basedOn w:val="a"/>
    <w:pPr>
      <w:pageBreakBefore/>
      <w:spacing w:before="150" w:after="150"/>
      <w:jc w:val="center"/>
    </w:pPr>
    <w:rPr>
      <w:rFonts w:ascii="Arial" w:hAnsi="Arial" w:cs="Arial"/>
      <w:b/>
      <w:bCs/>
    </w:rPr>
  </w:style>
  <w:style w:type="paragraph" w:customStyle="1" w:styleId="subheader">
    <w:name w:val="subheader"/>
    <w:basedOn w:val="a"/>
    <w:pPr>
      <w:spacing w:before="150" w:after="150"/>
      <w:jc w:val="center"/>
    </w:pPr>
    <w:rPr>
      <w:rFonts w:ascii="Arial" w:hAnsi="Arial" w:cs="Arial"/>
      <w:b/>
      <w:bCs/>
      <w:sz w:val="22"/>
      <w:szCs w:val="22"/>
    </w:rPr>
  </w:style>
  <w:style w:type="paragraph" w:customStyle="1" w:styleId="notes">
    <w:name w:val="notes"/>
    <w:basedOn w:val="a"/>
    <w:pPr>
      <w:spacing w:before="100" w:beforeAutospacing="1" w:after="100" w:afterAutospacing="1"/>
    </w:pPr>
    <w:rPr>
      <w:rFonts w:ascii="Arial" w:hAnsi="Arial" w:cs="Arial"/>
      <w:b/>
      <w:bCs/>
      <w:i/>
      <w:iCs/>
      <w:sz w:val="22"/>
      <w:szCs w:val="22"/>
    </w:rPr>
  </w:style>
  <w:style w:type="paragraph" w:customStyle="1" w:styleId="titulbold">
    <w:name w:val="titulbold"/>
    <w:basedOn w:val="a"/>
    <w:pPr>
      <w:spacing w:before="150" w:after="150"/>
    </w:pPr>
    <w:rPr>
      <w:rFonts w:ascii="Arial" w:hAnsi="Arial" w:cs="Arial"/>
      <w:b/>
      <w:bCs/>
      <w:sz w:val="22"/>
      <w:szCs w:val="22"/>
    </w:rPr>
  </w:style>
  <w:style w:type="paragraph" w:customStyle="1" w:styleId="list1">
    <w:name w:val="list1"/>
    <w:basedOn w:val="a"/>
    <w:pPr>
      <w:spacing w:before="100" w:beforeAutospacing="1" w:after="100" w:afterAutospacing="1"/>
    </w:pPr>
    <w:rPr>
      <w:rFonts w:ascii="Arial" w:hAnsi="Arial" w:cs="Arial"/>
      <w:sz w:val="22"/>
      <w:szCs w:val="22"/>
    </w:rPr>
  </w:style>
  <w:style w:type="paragraph" w:customStyle="1" w:styleId="list2">
    <w:name w:val="list2"/>
    <w:basedOn w:val="a"/>
    <w:pPr>
      <w:spacing w:before="100" w:beforeAutospacing="1" w:after="100" w:afterAutospacing="1"/>
    </w:pPr>
    <w:rPr>
      <w:rFonts w:ascii="Arial" w:hAnsi="Arial" w:cs="Arial"/>
      <w:sz w:val="19"/>
      <w:szCs w:val="19"/>
    </w:rPr>
  </w:style>
  <w:style w:type="paragraph" w:customStyle="1" w:styleId="list3">
    <w:name w:val="list3"/>
    <w:basedOn w:val="a"/>
    <w:pPr>
      <w:spacing w:before="100" w:beforeAutospacing="1" w:after="100" w:afterAutospacing="1"/>
      <w:jc w:val="right"/>
    </w:pPr>
    <w:rPr>
      <w:rFonts w:ascii="Arial" w:hAnsi="Arial" w:cs="Arial"/>
      <w:sz w:val="17"/>
      <w:szCs w:val="17"/>
    </w:rPr>
  </w:style>
  <w:style w:type="paragraph" w:customStyle="1" w:styleId="smalledit">
    <w:name w:val="smalledit"/>
    <w:basedOn w:val="a"/>
    <w:pPr>
      <w:spacing w:before="100" w:beforeAutospacing="1" w:after="100" w:afterAutospacing="1"/>
    </w:pPr>
    <w:rPr>
      <w:rFonts w:ascii="Arial" w:hAnsi="Arial" w:cs="Arial"/>
      <w:sz w:val="19"/>
      <w:szCs w:val="19"/>
    </w:rPr>
  </w:style>
  <w:style w:type="paragraph" w:customStyle="1" w:styleId="smalleditr">
    <w:name w:val="smalledit_r"/>
    <w:basedOn w:val="a"/>
    <w:pPr>
      <w:spacing w:before="100" w:beforeAutospacing="1" w:after="100" w:afterAutospacing="1"/>
      <w:jc w:val="right"/>
    </w:pPr>
    <w:rPr>
      <w:rFonts w:ascii="Arial" w:hAnsi="Arial" w:cs="Arial"/>
      <w:sz w:val="19"/>
      <w:szCs w:val="19"/>
    </w:rPr>
  </w:style>
  <w:style w:type="paragraph" w:customStyle="1" w:styleId="smalleditl">
    <w:name w:val="smalledit_l"/>
    <w:basedOn w:val="a"/>
    <w:pPr>
      <w:spacing w:before="100" w:beforeAutospacing="1" w:after="100" w:afterAutospacing="1"/>
    </w:pPr>
    <w:rPr>
      <w:rFonts w:ascii="Arial" w:hAnsi="Arial" w:cs="Arial"/>
      <w:sz w:val="19"/>
      <w:szCs w:val="19"/>
    </w:rPr>
  </w:style>
  <w:style w:type="paragraph" w:customStyle="1" w:styleId="smalleditc">
    <w:name w:val="smalledit_c"/>
    <w:basedOn w:val="a"/>
    <w:pPr>
      <w:spacing w:before="100" w:beforeAutospacing="1" w:after="100" w:afterAutospacing="1"/>
      <w:jc w:val="center"/>
    </w:pPr>
    <w:rPr>
      <w:rFonts w:ascii="Arial" w:hAnsi="Arial" w:cs="Arial"/>
      <w:sz w:val="19"/>
      <w:szCs w:val="19"/>
    </w:rPr>
  </w:style>
  <w:style w:type="paragraph" w:customStyle="1" w:styleId="smallediti">
    <w:name w:val="smalledit_i"/>
    <w:basedOn w:val="a"/>
    <w:pPr>
      <w:spacing w:before="100" w:beforeAutospacing="1" w:after="100" w:afterAutospacing="1"/>
    </w:pPr>
    <w:rPr>
      <w:rFonts w:ascii="Arial" w:hAnsi="Arial" w:cs="Arial"/>
      <w:b/>
      <w:bCs/>
      <w:sz w:val="19"/>
      <w:szCs w:val="19"/>
    </w:rPr>
  </w:style>
  <w:style w:type="paragraph" w:customStyle="1" w:styleId="sedit">
    <w:name w:val="s_edit"/>
    <w:basedOn w:val="a"/>
    <w:pPr>
      <w:spacing w:before="100" w:beforeAutospacing="1" w:after="100" w:afterAutospacing="1"/>
    </w:pPr>
    <w:rPr>
      <w:rFonts w:ascii="Arial" w:hAnsi="Arial" w:cs="Arial"/>
      <w:sz w:val="19"/>
      <w:szCs w:val="19"/>
    </w:rPr>
  </w:style>
  <w:style w:type="paragraph" w:customStyle="1" w:styleId="seditcombo">
    <w:name w:val="s_edit_combo"/>
    <w:basedOn w:val="a"/>
    <w:pPr>
      <w:spacing w:before="100" w:beforeAutospacing="1" w:after="100" w:afterAutospacing="1"/>
    </w:pPr>
    <w:rPr>
      <w:rFonts w:ascii="Arial" w:hAnsi="Arial" w:cs="Arial"/>
      <w:sz w:val="19"/>
      <w:szCs w:val="19"/>
    </w:rPr>
  </w:style>
  <w:style w:type="paragraph" w:customStyle="1" w:styleId="number">
    <w:name w:val="number"/>
    <w:basedOn w:val="a"/>
    <w:pPr>
      <w:pBdr>
        <w:top w:val="single" w:sz="6" w:space="0" w:color="646899"/>
        <w:left w:val="single" w:sz="6" w:space="0" w:color="646899"/>
        <w:bottom w:val="single" w:sz="6" w:space="0" w:color="000080"/>
        <w:right w:val="single" w:sz="6" w:space="0" w:color="000080"/>
      </w:pBdr>
      <w:spacing w:before="100" w:beforeAutospacing="1" w:after="100" w:afterAutospacing="1"/>
      <w:jc w:val="right"/>
    </w:pPr>
    <w:rPr>
      <w:rFonts w:ascii="Arial" w:hAnsi="Arial" w:cs="Arial"/>
      <w:sz w:val="19"/>
      <w:szCs w:val="19"/>
    </w:rPr>
  </w:style>
  <w:style w:type="paragraph" w:customStyle="1" w:styleId="numbernoborder">
    <w:name w:val="numbernoborder"/>
    <w:basedOn w:val="a"/>
    <w:pPr>
      <w:spacing w:before="100" w:beforeAutospacing="1" w:after="100" w:afterAutospacing="1"/>
      <w:jc w:val="right"/>
    </w:pPr>
    <w:rPr>
      <w:rFonts w:ascii="Arial" w:hAnsi="Arial" w:cs="Arial"/>
      <w:sz w:val="19"/>
      <w:szCs w:val="19"/>
    </w:rPr>
  </w:style>
  <w:style w:type="paragraph" w:customStyle="1" w:styleId="sedithidden">
    <w:name w:val="s_edithidden"/>
    <w:basedOn w:val="a"/>
    <w:pPr>
      <w:pBdr>
        <w:top w:val="single" w:sz="6" w:space="0" w:color="646899"/>
        <w:left w:val="single" w:sz="6" w:space="0" w:color="646899"/>
        <w:bottom w:val="single" w:sz="6" w:space="0" w:color="000080"/>
        <w:right w:val="single" w:sz="6" w:space="0" w:color="000080"/>
      </w:pBdr>
      <w:spacing w:before="100" w:beforeAutospacing="1" w:after="100" w:afterAutospacing="1"/>
    </w:pPr>
    <w:rPr>
      <w:rFonts w:ascii="Arial" w:hAnsi="Arial" w:cs="Arial"/>
      <w:vanish/>
      <w:sz w:val="16"/>
      <w:szCs w:val="16"/>
    </w:rPr>
  </w:style>
  <w:style w:type="paragraph" w:customStyle="1" w:styleId="txtarea">
    <w:name w:val="txtarea"/>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Arial" w:hAnsi="Arial" w:cs="Arial"/>
      <w:sz w:val="22"/>
      <w:szCs w:val="22"/>
    </w:rPr>
  </w:style>
  <w:style w:type="paragraph" w:customStyle="1" w:styleId="warning">
    <w:name w:val="warning"/>
    <w:basedOn w:val="a"/>
    <w:pPr>
      <w:spacing w:before="180" w:after="180"/>
      <w:jc w:val="center"/>
    </w:pPr>
    <w:rPr>
      <w:rFonts w:ascii="Arial" w:hAnsi="Arial" w:cs="Arial"/>
      <w:b/>
      <w:bCs/>
    </w:rPr>
  </w:style>
  <w:style w:type="paragraph" w:customStyle="1" w:styleId="sedit1">
    <w:name w:val="s_edit1"/>
    <w:basedOn w:val="a"/>
    <w:pPr>
      <w:spacing w:before="100" w:beforeAutospacing="1" w:after="100" w:afterAutospacing="1"/>
    </w:pPr>
    <w:rPr>
      <w:rFonts w:ascii="Arial" w:hAnsi="Arial" w:cs="Arial"/>
      <w:sz w:val="19"/>
      <w:szCs w:val="19"/>
    </w:rPr>
  </w:style>
  <w:style w:type="paragraph" w:customStyle="1" w:styleId="seditr">
    <w:name w:val="s_edit_r"/>
    <w:basedOn w:val="a"/>
    <w:pPr>
      <w:spacing w:before="100" w:beforeAutospacing="1" w:after="100" w:afterAutospacing="1"/>
      <w:jc w:val="right"/>
    </w:pPr>
    <w:rPr>
      <w:rFonts w:ascii="Arial" w:hAnsi="Arial" w:cs="Arial"/>
      <w:sz w:val="19"/>
      <w:szCs w:val="19"/>
    </w:rPr>
  </w:style>
  <w:style w:type="paragraph" w:customStyle="1" w:styleId="seditl">
    <w:name w:val="s_edit_l"/>
    <w:basedOn w:val="a"/>
    <w:pPr>
      <w:spacing w:before="100" w:beforeAutospacing="1" w:after="100" w:afterAutospacing="1"/>
    </w:pPr>
    <w:rPr>
      <w:rFonts w:ascii="Arial" w:hAnsi="Arial" w:cs="Arial"/>
      <w:sz w:val="19"/>
      <w:szCs w:val="19"/>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customStyle="1" w:styleId="pagebreak">
    <w:name w:val="pagebreak"/>
    <w:basedOn w:val="a"/>
    <w:pPr>
      <w:spacing w:before="100" w:beforeAutospacing="1" w:after="100" w:afterAutospacing="1"/>
    </w:pPr>
    <w:rPr>
      <w:rFonts w:ascii="Arial" w:hAnsi="Arial" w:cs="Arial"/>
      <w:sz w:val="22"/>
      <w:szCs w:val="22"/>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eastAsiaTheme="minorEastAsia"/>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639">
      <w:marLeft w:val="0"/>
      <w:marRight w:val="0"/>
      <w:marTop w:val="150"/>
      <w:marBottom w:val="150"/>
      <w:divBdr>
        <w:top w:val="none" w:sz="0" w:space="0" w:color="auto"/>
        <w:left w:val="none" w:sz="0" w:space="0" w:color="auto"/>
        <w:bottom w:val="none" w:sz="0" w:space="0" w:color="auto"/>
        <w:right w:val="none" w:sz="0" w:space="0" w:color="auto"/>
      </w:divBdr>
    </w:div>
    <w:div w:id="32048818">
      <w:marLeft w:val="0"/>
      <w:marRight w:val="0"/>
      <w:marTop w:val="150"/>
      <w:marBottom w:val="150"/>
      <w:divBdr>
        <w:top w:val="none" w:sz="0" w:space="0" w:color="auto"/>
        <w:left w:val="none" w:sz="0" w:space="0" w:color="auto"/>
        <w:bottom w:val="none" w:sz="0" w:space="0" w:color="auto"/>
        <w:right w:val="none" w:sz="0" w:space="0" w:color="auto"/>
      </w:divBdr>
    </w:div>
    <w:div w:id="34044894">
      <w:marLeft w:val="0"/>
      <w:marRight w:val="0"/>
      <w:marTop w:val="150"/>
      <w:marBottom w:val="150"/>
      <w:divBdr>
        <w:top w:val="none" w:sz="0" w:space="0" w:color="auto"/>
        <w:left w:val="none" w:sz="0" w:space="0" w:color="auto"/>
        <w:bottom w:val="none" w:sz="0" w:space="0" w:color="auto"/>
        <w:right w:val="none" w:sz="0" w:space="0" w:color="auto"/>
      </w:divBdr>
    </w:div>
    <w:div w:id="273556120">
      <w:marLeft w:val="0"/>
      <w:marRight w:val="0"/>
      <w:marTop w:val="150"/>
      <w:marBottom w:val="150"/>
      <w:divBdr>
        <w:top w:val="none" w:sz="0" w:space="0" w:color="auto"/>
        <w:left w:val="none" w:sz="0" w:space="0" w:color="auto"/>
        <w:bottom w:val="none" w:sz="0" w:space="0" w:color="auto"/>
        <w:right w:val="none" w:sz="0" w:space="0" w:color="auto"/>
      </w:divBdr>
    </w:div>
    <w:div w:id="281621525">
      <w:marLeft w:val="0"/>
      <w:marRight w:val="0"/>
      <w:marTop w:val="150"/>
      <w:marBottom w:val="150"/>
      <w:divBdr>
        <w:top w:val="none" w:sz="0" w:space="0" w:color="auto"/>
        <w:left w:val="none" w:sz="0" w:space="0" w:color="auto"/>
        <w:bottom w:val="none" w:sz="0" w:space="0" w:color="auto"/>
        <w:right w:val="none" w:sz="0" w:space="0" w:color="auto"/>
      </w:divBdr>
    </w:div>
    <w:div w:id="324477955">
      <w:marLeft w:val="0"/>
      <w:marRight w:val="0"/>
      <w:marTop w:val="150"/>
      <w:marBottom w:val="150"/>
      <w:divBdr>
        <w:top w:val="none" w:sz="0" w:space="0" w:color="auto"/>
        <w:left w:val="none" w:sz="0" w:space="0" w:color="auto"/>
        <w:bottom w:val="none" w:sz="0" w:space="0" w:color="auto"/>
        <w:right w:val="none" w:sz="0" w:space="0" w:color="auto"/>
      </w:divBdr>
    </w:div>
    <w:div w:id="362632484">
      <w:marLeft w:val="0"/>
      <w:marRight w:val="0"/>
      <w:marTop w:val="150"/>
      <w:marBottom w:val="150"/>
      <w:divBdr>
        <w:top w:val="none" w:sz="0" w:space="0" w:color="auto"/>
        <w:left w:val="none" w:sz="0" w:space="0" w:color="auto"/>
        <w:bottom w:val="none" w:sz="0" w:space="0" w:color="auto"/>
        <w:right w:val="none" w:sz="0" w:space="0" w:color="auto"/>
      </w:divBdr>
    </w:div>
    <w:div w:id="435909853">
      <w:marLeft w:val="0"/>
      <w:marRight w:val="0"/>
      <w:marTop w:val="150"/>
      <w:marBottom w:val="150"/>
      <w:divBdr>
        <w:top w:val="none" w:sz="0" w:space="0" w:color="auto"/>
        <w:left w:val="none" w:sz="0" w:space="0" w:color="auto"/>
        <w:bottom w:val="none" w:sz="0" w:space="0" w:color="auto"/>
        <w:right w:val="none" w:sz="0" w:space="0" w:color="auto"/>
      </w:divBdr>
    </w:div>
    <w:div w:id="480198668">
      <w:marLeft w:val="0"/>
      <w:marRight w:val="0"/>
      <w:marTop w:val="150"/>
      <w:marBottom w:val="150"/>
      <w:divBdr>
        <w:top w:val="none" w:sz="0" w:space="0" w:color="auto"/>
        <w:left w:val="none" w:sz="0" w:space="0" w:color="auto"/>
        <w:bottom w:val="none" w:sz="0" w:space="0" w:color="auto"/>
        <w:right w:val="none" w:sz="0" w:space="0" w:color="auto"/>
      </w:divBdr>
    </w:div>
    <w:div w:id="487480543">
      <w:marLeft w:val="0"/>
      <w:marRight w:val="0"/>
      <w:marTop w:val="150"/>
      <w:marBottom w:val="150"/>
      <w:divBdr>
        <w:top w:val="none" w:sz="0" w:space="0" w:color="auto"/>
        <w:left w:val="none" w:sz="0" w:space="0" w:color="auto"/>
        <w:bottom w:val="none" w:sz="0" w:space="0" w:color="auto"/>
        <w:right w:val="none" w:sz="0" w:space="0" w:color="auto"/>
      </w:divBdr>
    </w:div>
    <w:div w:id="505749405">
      <w:marLeft w:val="0"/>
      <w:marRight w:val="0"/>
      <w:marTop w:val="150"/>
      <w:marBottom w:val="150"/>
      <w:divBdr>
        <w:top w:val="none" w:sz="0" w:space="0" w:color="auto"/>
        <w:left w:val="none" w:sz="0" w:space="0" w:color="auto"/>
        <w:bottom w:val="none" w:sz="0" w:space="0" w:color="auto"/>
        <w:right w:val="none" w:sz="0" w:space="0" w:color="auto"/>
      </w:divBdr>
    </w:div>
    <w:div w:id="522010650">
      <w:marLeft w:val="0"/>
      <w:marRight w:val="0"/>
      <w:marTop w:val="150"/>
      <w:marBottom w:val="150"/>
      <w:divBdr>
        <w:top w:val="none" w:sz="0" w:space="0" w:color="auto"/>
        <w:left w:val="none" w:sz="0" w:space="0" w:color="auto"/>
        <w:bottom w:val="none" w:sz="0" w:space="0" w:color="auto"/>
        <w:right w:val="none" w:sz="0" w:space="0" w:color="auto"/>
      </w:divBdr>
    </w:div>
    <w:div w:id="549801863">
      <w:marLeft w:val="0"/>
      <w:marRight w:val="0"/>
      <w:marTop w:val="150"/>
      <w:marBottom w:val="150"/>
      <w:divBdr>
        <w:top w:val="none" w:sz="0" w:space="0" w:color="auto"/>
        <w:left w:val="none" w:sz="0" w:space="0" w:color="auto"/>
        <w:bottom w:val="none" w:sz="0" w:space="0" w:color="auto"/>
        <w:right w:val="none" w:sz="0" w:space="0" w:color="auto"/>
      </w:divBdr>
    </w:div>
    <w:div w:id="586378171">
      <w:marLeft w:val="0"/>
      <w:marRight w:val="0"/>
      <w:marTop w:val="150"/>
      <w:marBottom w:val="150"/>
      <w:divBdr>
        <w:top w:val="none" w:sz="0" w:space="0" w:color="auto"/>
        <w:left w:val="none" w:sz="0" w:space="0" w:color="auto"/>
        <w:bottom w:val="none" w:sz="0" w:space="0" w:color="auto"/>
        <w:right w:val="none" w:sz="0" w:space="0" w:color="auto"/>
      </w:divBdr>
    </w:div>
    <w:div w:id="607128318">
      <w:marLeft w:val="0"/>
      <w:marRight w:val="0"/>
      <w:marTop w:val="150"/>
      <w:marBottom w:val="150"/>
      <w:divBdr>
        <w:top w:val="none" w:sz="0" w:space="0" w:color="auto"/>
        <w:left w:val="none" w:sz="0" w:space="0" w:color="auto"/>
        <w:bottom w:val="none" w:sz="0" w:space="0" w:color="auto"/>
        <w:right w:val="none" w:sz="0" w:space="0" w:color="auto"/>
      </w:divBdr>
    </w:div>
    <w:div w:id="618530971">
      <w:marLeft w:val="0"/>
      <w:marRight w:val="0"/>
      <w:marTop w:val="150"/>
      <w:marBottom w:val="150"/>
      <w:divBdr>
        <w:top w:val="none" w:sz="0" w:space="0" w:color="auto"/>
        <w:left w:val="none" w:sz="0" w:space="0" w:color="auto"/>
        <w:bottom w:val="none" w:sz="0" w:space="0" w:color="auto"/>
        <w:right w:val="none" w:sz="0" w:space="0" w:color="auto"/>
      </w:divBdr>
    </w:div>
    <w:div w:id="658385044">
      <w:marLeft w:val="0"/>
      <w:marRight w:val="0"/>
      <w:marTop w:val="150"/>
      <w:marBottom w:val="150"/>
      <w:divBdr>
        <w:top w:val="none" w:sz="0" w:space="0" w:color="auto"/>
        <w:left w:val="none" w:sz="0" w:space="0" w:color="auto"/>
        <w:bottom w:val="none" w:sz="0" w:space="0" w:color="auto"/>
        <w:right w:val="none" w:sz="0" w:space="0" w:color="auto"/>
      </w:divBdr>
    </w:div>
    <w:div w:id="672799703">
      <w:marLeft w:val="0"/>
      <w:marRight w:val="0"/>
      <w:marTop w:val="150"/>
      <w:marBottom w:val="150"/>
      <w:divBdr>
        <w:top w:val="none" w:sz="0" w:space="0" w:color="auto"/>
        <w:left w:val="none" w:sz="0" w:space="0" w:color="auto"/>
        <w:bottom w:val="none" w:sz="0" w:space="0" w:color="auto"/>
        <w:right w:val="none" w:sz="0" w:space="0" w:color="auto"/>
      </w:divBdr>
    </w:div>
    <w:div w:id="764571378">
      <w:marLeft w:val="0"/>
      <w:marRight w:val="0"/>
      <w:marTop w:val="150"/>
      <w:marBottom w:val="150"/>
      <w:divBdr>
        <w:top w:val="none" w:sz="0" w:space="0" w:color="auto"/>
        <w:left w:val="none" w:sz="0" w:space="0" w:color="auto"/>
        <w:bottom w:val="none" w:sz="0" w:space="0" w:color="auto"/>
        <w:right w:val="none" w:sz="0" w:space="0" w:color="auto"/>
      </w:divBdr>
    </w:div>
    <w:div w:id="771780089">
      <w:marLeft w:val="0"/>
      <w:marRight w:val="0"/>
      <w:marTop w:val="150"/>
      <w:marBottom w:val="150"/>
      <w:divBdr>
        <w:top w:val="none" w:sz="0" w:space="0" w:color="auto"/>
        <w:left w:val="none" w:sz="0" w:space="0" w:color="auto"/>
        <w:bottom w:val="none" w:sz="0" w:space="0" w:color="auto"/>
        <w:right w:val="none" w:sz="0" w:space="0" w:color="auto"/>
      </w:divBdr>
    </w:div>
    <w:div w:id="829445886">
      <w:marLeft w:val="0"/>
      <w:marRight w:val="0"/>
      <w:marTop w:val="150"/>
      <w:marBottom w:val="150"/>
      <w:divBdr>
        <w:top w:val="none" w:sz="0" w:space="0" w:color="auto"/>
        <w:left w:val="none" w:sz="0" w:space="0" w:color="auto"/>
        <w:bottom w:val="none" w:sz="0" w:space="0" w:color="auto"/>
        <w:right w:val="none" w:sz="0" w:space="0" w:color="auto"/>
      </w:divBdr>
    </w:div>
    <w:div w:id="842548236">
      <w:marLeft w:val="0"/>
      <w:marRight w:val="0"/>
      <w:marTop w:val="0"/>
      <w:marBottom w:val="0"/>
      <w:divBdr>
        <w:top w:val="none" w:sz="0" w:space="0" w:color="auto"/>
        <w:left w:val="none" w:sz="0" w:space="0" w:color="auto"/>
        <w:bottom w:val="none" w:sz="0" w:space="0" w:color="auto"/>
        <w:right w:val="none" w:sz="0" w:space="0" w:color="auto"/>
      </w:divBdr>
    </w:div>
    <w:div w:id="917861180">
      <w:marLeft w:val="0"/>
      <w:marRight w:val="0"/>
      <w:marTop w:val="150"/>
      <w:marBottom w:val="150"/>
      <w:divBdr>
        <w:top w:val="none" w:sz="0" w:space="0" w:color="auto"/>
        <w:left w:val="none" w:sz="0" w:space="0" w:color="auto"/>
        <w:bottom w:val="none" w:sz="0" w:space="0" w:color="auto"/>
        <w:right w:val="none" w:sz="0" w:space="0" w:color="auto"/>
      </w:divBdr>
    </w:div>
    <w:div w:id="961032258">
      <w:marLeft w:val="0"/>
      <w:marRight w:val="0"/>
      <w:marTop w:val="150"/>
      <w:marBottom w:val="150"/>
      <w:divBdr>
        <w:top w:val="none" w:sz="0" w:space="0" w:color="auto"/>
        <w:left w:val="none" w:sz="0" w:space="0" w:color="auto"/>
        <w:bottom w:val="none" w:sz="0" w:space="0" w:color="auto"/>
        <w:right w:val="none" w:sz="0" w:space="0" w:color="auto"/>
      </w:divBdr>
    </w:div>
    <w:div w:id="966350232">
      <w:marLeft w:val="0"/>
      <w:marRight w:val="0"/>
      <w:marTop w:val="150"/>
      <w:marBottom w:val="150"/>
      <w:divBdr>
        <w:top w:val="none" w:sz="0" w:space="0" w:color="auto"/>
        <w:left w:val="none" w:sz="0" w:space="0" w:color="auto"/>
        <w:bottom w:val="none" w:sz="0" w:space="0" w:color="auto"/>
        <w:right w:val="none" w:sz="0" w:space="0" w:color="auto"/>
      </w:divBdr>
    </w:div>
    <w:div w:id="1019627772">
      <w:marLeft w:val="0"/>
      <w:marRight w:val="0"/>
      <w:marTop w:val="150"/>
      <w:marBottom w:val="150"/>
      <w:divBdr>
        <w:top w:val="none" w:sz="0" w:space="0" w:color="auto"/>
        <w:left w:val="none" w:sz="0" w:space="0" w:color="auto"/>
        <w:bottom w:val="none" w:sz="0" w:space="0" w:color="auto"/>
        <w:right w:val="none" w:sz="0" w:space="0" w:color="auto"/>
      </w:divBdr>
    </w:div>
    <w:div w:id="1040087665">
      <w:marLeft w:val="0"/>
      <w:marRight w:val="0"/>
      <w:marTop w:val="150"/>
      <w:marBottom w:val="150"/>
      <w:divBdr>
        <w:top w:val="none" w:sz="0" w:space="0" w:color="auto"/>
        <w:left w:val="none" w:sz="0" w:space="0" w:color="auto"/>
        <w:bottom w:val="none" w:sz="0" w:space="0" w:color="auto"/>
        <w:right w:val="none" w:sz="0" w:space="0" w:color="auto"/>
      </w:divBdr>
    </w:div>
    <w:div w:id="1087000760">
      <w:marLeft w:val="0"/>
      <w:marRight w:val="0"/>
      <w:marTop w:val="150"/>
      <w:marBottom w:val="150"/>
      <w:divBdr>
        <w:top w:val="none" w:sz="0" w:space="0" w:color="auto"/>
        <w:left w:val="none" w:sz="0" w:space="0" w:color="auto"/>
        <w:bottom w:val="none" w:sz="0" w:space="0" w:color="auto"/>
        <w:right w:val="none" w:sz="0" w:space="0" w:color="auto"/>
      </w:divBdr>
    </w:div>
    <w:div w:id="1106190978">
      <w:marLeft w:val="0"/>
      <w:marRight w:val="0"/>
      <w:marTop w:val="150"/>
      <w:marBottom w:val="150"/>
      <w:divBdr>
        <w:top w:val="none" w:sz="0" w:space="0" w:color="auto"/>
        <w:left w:val="none" w:sz="0" w:space="0" w:color="auto"/>
        <w:bottom w:val="none" w:sz="0" w:space="0" w:color="auto"/>
        <w:right w:val="none" w:sz="0" w:space="0" w:color="auto"/>
      </w:divBdr>
    </w:div>
    <w:div w:id="1120413418">
      <w:marLeft w:val="0"/>
      <w:marRight w:val="0"/>
      <w:marTop w:val="150"/>
      <w:marBottom w:val="150"/>
      <w:divBdr>
        <w:top w:val="none" w:sz="0" w:space="0" w:color="auto"/>
        <w:left w:val="none" w:sz="0" w:space="0" w:color="auto"/>
        <w:bottom w:val="none" w:sz="0" w:space="0" w:color="auto"/>
        <w:right w:val="none" w:sz="0" w:space="0" w:color="auto"/>
      </w:divBdr>
    </w:div>
    <w:div w:id="1161895520">
      <w:marLeft w:val="0"/>
      <w:marRight w:val="0"/>
      <w:marTop w:val="150"/>
      <w:marBottom w:val="150"/>
      <w:divBdr>
        <w:top w:val="none" w:sz="0" w:space="0" w:color="auto"/>
        <w:left w:val="none" w:sz="0" w:space="0" w:color="auto"/>
        <w:bottom w:val="none" w:sz="0" w:space="0" w:color="auto"/>
        <w:right w:val="none" w:sz="0" w:space="0" w:color="auto"/>
      </w:divBdr>
    </w:div>
    <w:div w:id="1167330852">
      <w:marLeft w:val="0"/>
      <w:marRight w:val="0"/>
      <w:marTop w:val="150"/>
      <w:marBottom w:val="150"/>
      <w:divBdr>
        <w:top w:val="none" w:sz="0" w:space="0" w:color="auto"/>
        <w:left w:val="none" w:sz="0" w:space="0" w:color="auto"/>
        <w:bottom w:val="none" w:sz="0" w:space="0" w:color="auto"/>
        <w:right w:val="none" w:sz="0" w:space="0" w:color="auto"/>
      </w:divBdr>
    </w:div>
    <w:div w:id="1190875415">
      <w:marLeft w:val="0"/>
      <w:marRight w:val="0"/>
      <w:marTop w:val="150"/>
      <w:marBottom w:val="150"/>
      <w:divBdr>
        <w:top w:val="none" w:sz="0" w:space="0" w:color="auto"/>
        <w:left w:val="none" w:sz="0" w:space="0" w:color="auto"/>
        <w:bottom w:val="none" w:sz="0" w:space="0" w:color="auto"/>
        <w:right w:val="none" w:sz="0" w:space="0" w:color="auto"/>
      </w:divBdr>
    </w:div>
    <w:div w:id="1292899973">
      <w:marLeft w:val="0"/>
      <w:marRight w:val="0"/>
      <w:marTop w:val="180"/>
      <w:marBottom w:val="180"/>
      <w:divBdr>
        <w:top w:val="none" w:sz="0" w:space="0" w:color="auto"/>
        <w:left w:val="none" w:sz="0" w:space="0" w:color="auto"/>
        <w:bottom w:val="none" w:sz="0" w:space="0" w:color="auto"/>
        <w:right w:val="none" w:sz="0" w:space="0" w:color="auto"/>
      </w:divBdr>
    </w:div>
    <w:div w:id="1300576623">
      <w:marLeft w:val="0"/>
      <w:marRight w:val="0"/>
      <w:marTop w:val="150"/>
      <w:marBottom w:val="150"/>
      <w:divBdr>
        <w:top w:val="none" w:sz="0" w:space="0" w:color="auto"/>
        <w:left w:val="none" w:sz="0" w:space="0" w:color="auto"/>
        <w:bottom w:val="none" w:sz="0" w:space="0" w:color="auto"/>
        <w:right w:val="none" w:sz="0" w:space="0" w:color="auto"/>
      </w:divBdr>
    </w:div>
    <w:div w:id="1302809410">
      <w:marLeft w:val="0"/>
      <w:marRight w:val="0"/>
      <w:marTop w:val="150"/>
      <w:marBottom w:val="150"/>
      <w:divBdr>
        <w:top w:val="none" w:sz="0" w:space="0" w:color="auto"/>
        <w:left w:val="none" w:sz="0" w:space="0" w:color="auto"/>
        <w:bottom w:val="none" w:sz="0" w:space="0" w:color="auto"/>
        <w:right w:val="none" w:sz="0" w:space="0" w:color="auto"/>
      </w:divBdr>
    </w:div>
    <w:div w:id="1367215843">
      <w:marLeft w:val="0"/>
      <w:marRight w:val="0"/>
      <w:marTop w:val="150"/>
      <w:marBottom w:val="150"/>
      <w:divBdr>
        <w:top w:val="none" w:sz="0" w:space="0" w:color="auto"/>
        <w:left w:val="none" w:sz="0" w:space="0" w:color="auto"/>
        <w:bottom w:val="none" w:sz="0" w:space="0" w:color="auto"/>
        <w:right w:val="none" w:sz="0" w:space="0" w:color="auto"/>
      </w:divBdr>
    </w:div>
    <w:div w:id="1372611877">
      <w:marLeft w:val="0"/>
      <w:marRight w:val="0"/>
      <w:marTop w:val="150"/>
      <w:marBottom w:val="150"/>
      <w:divBdr>
        <w:top w:val="none" w:sz="0" w:space="0" w:color="auto"/>
        <w:left w:val="none" w:sz="0" w:space="0" w:color="auto"/>
        <w:bottom w:val="none" w:sz="0" w:space="0" w:color="auto"/>
        <w:right w:val="none" w:sz="0" w:space="0" w:color="auto"/>
      </w:divBdr>
    </w:div>
    <w:div w:id="1397319888">
      <w:marLeft w:val="0"/>
      <w:marRight w:val="0"/>
      <w:marTop w:val="150"/>
      <w:marBottom w:val="150"/>
      <w:divBdr>
        <w:top w:val="none" w:sz="0" w:space="0" w:color="auto"/>
        <w:left w:val="none" w:sz="0" w:space="0" w:color="auto"/>
        <w:bottom w:val="none" w:sz="0" w:space="0" w:color="auto"/>
        <w:right w:val="none" w:sz="0" w:space="0" w:color="auto"/>
      </w:divBdr>
    </w:div>
    <w:div w:id="1400597530">
      <w:marLeft w:val="0"/>
      <w:marRight w:val="0"/>
      <w:marTop w:val="150"/>
      <w:marBottom w:val="150"/>
      <w:divBdr>
        <w:top w:val="none" w:sz="0" w:space="0" w:color="auto"/>
        <w:left w:val="none" w:sz="0" w:space="0" w:color="auto"/>
        <w:bottom w:val="none" w:sz="0" w:space="0" w:color="auto"/>
        <w:right w:val="none" w:sz="0" w:space="0" w:color="auto"/>
      </w:divBdr>
    </w:div>
    <w:div w:id="1466386760">
      <w:marLeft w:val="0"/>
      <w:marRight w:val="0"/>
      <w:marTop w:val="150"/>
      <w:marBottom w:val="150"/>
      <w:divBdr>
        <w:top w:val="none" w:sz="0" w:space="0" w:color="auto"/>
        <w:left w:val="none" w:sz="0" w:space="0" w:color="auto"/>
        <w:bottom w:val="none" w:sz="0" w:space="0" w:color="auto"/>
        <w:right w:val="none" w:sz="0" w:space="0" w:color="auto"/>
      </w:divBdr>
    </w:div>
    <w:div w:id="1530952265">
      <w:marLeft w:val="0"/>
      <w:marRight w:val="0"/>
      <w:marTop w:val="150"/>
      <w:marBottom w:val="150"/>
      <w:divBdr>
        <w:top w:val="none" w:sz="0" w:space="0" w:color="auto"/>
        <w:left w:val="none" w:sz="0" w:space="0" w:color="auto"/>
        <w:bottom w:val="none" w:sz="0" w:space="0" w:color="auto"/>
        <w:right w:val="none" w:sz="0" w:space="0" w:color="auto"/>
      </w:divBdr>
    </w:div>
    <w:div w:id="1540430852">
      <w:marLeft w:val="0"/>
      <w:marRight w:val="0"/>
      <w:marTop w:val="150"/>
      <w:marBottom w:val="150"/>
      <w:divBdr>
        <w:top w:val="none" w:sz="0" w:space="0" w:color="auto"/>
        <w:left w:val="none" w:sz="0" w:space="0" w:color="auto"/>
        <w:bottom w:val="none" w:sz="0" w:space="0" w:color="auto"/>
        <w:right w:val="none" w:sz="0" w:space="0" w:color="auto"/>
      </w:divBdr>
    </w:div>
    <w:div w:id="1604412075">
      <w:marLeft w:val="0"/>
      <w:marRight w:val="0"/>
      <w:marTop w:val="150"/>
      <w:marBottom w:val="150"/>
      <w:divBdr>
        <w:top w:val="none" w:sz="0" w:space="0" w:color="auto"/>
        <w:left w:val="none" w:sz="0" w:space="0" w:color="auto"/>
        <w:bottom w:val="none" w:sz="0" w:space="0" w:color="auto"/>
        <w:right w:val="none" w:sz="0" w:space="0" w:color="auto"/>
      </w:divBdr>
    </w:div>
    <w:div w:id="1606422584">
      <w:marLeft w:val="0"/>
      <w:marRight w:val="0"/>
      <w:marTop w:val="150"/>
      <w:marBottom w:val="150"/>
      <w:divBdr>
        <w:top w:val="none" w:sz="0" w:space="0" w:color="auto"/>
        <w:left w:val="none" w:sz="0" w:space="0" w:color="auto"/>
        <w:bottom w:val="none" w:sz="0" w:space="0" w:color="auto"/>
        <w:right w:val="none" w:sz="0" w:space="0" w:color="auto"/>
      </w:divBdr>
    </w:div>
    <w:div w:id="1618558564">
      <w:marLeft w:val="0"/>
      <w:marRight w:val="0"/>
      <w:marTop w:val="150"/>
      <w:marBottom w:val="150"/>
      <w:divBdr>
        <w:top w:val="none" w:sz="0" w:space="0" w:color="auto"/>
        <w:left w:val="none" w:sz="0" w:space="0" w:color="auto"/>
        <w:bottom w:val="none" w:sz="0" w:space="0" w:color="auto"/>
        <w:right w:val="none" w:sz="0" w:space="0" w:color="auto"/>
      </w:divBdr>
    </w:div>
    <w:div w:id="1672952524">
      <w:marLeft w:val="0"/>
      <w:marRight w:val="0"/>
      <w:marTop w:val="150"/>
      <w:marBottom w:val="150"/>
      <w:divBdr>
        <w:top w:val="none" w:sz="0" w:space="0" w:color="auto"/>
        <w:left w:val="none" w:sz="0" w:space="0" w:color="auto"/>
        <w:bottom w:val="none" w:sz="0" w:space="0" w:color="auto"/>
        <w:right w:val="none" w:sz="0" w:space="0" w:color="auto"/>
      </w:divBdr>
    </w:div>
    <w:div w:id="1673677927">
      <w:marLeft w:val="0"/>
      <w:marRight w:val="0"/>
      <w:marTop w:val="150"/>
      <w:marBottom w:val="150"/>
      <w:divBdr>
        <w:top w:val="none" w:sz="0" w:space="0" w:color="auto"/>
        <w:left w:val="none" w:sz="0" w:space="0" w:color="auto"/>
        <w:bottom w:val="none" w:sz="0" w:space="0" w:color="auto"/>
        <w:right w:val="none" w:sz="0" w:space="0" w:color="auto"/>
      </w:divBdr>
    </w:div>
    <w:div w:id="1700424063">
      <w:marLeft w:val="0"/>
      <w:marRight w:val="0"/>
      <w:marTop w:val="150"/>
      <w:marBottom w:val="150"/>
      <w:divBdr>
        <w:top w:val="none" w:sz="0" w:space="0" w:color="auto"/>
        <w:left w:val="none" w:sz="0" w:space="0" w:color="auto"/>
        <w:bottom w:val="none" w:sz="0" w:space="0" w:color="auto"/>
        <w:right w:val="none" w:sz="0" w:space="0" w:color="auto"/>
      </w:divBdr>
    </w:div>
    <w:div w:id="1743405402">
      <w:marLeft w:val="0"/>
      <w:marRight w:val="0"/>
      <w:marTop w:val="150"/>
      <w:marBottom w:val="150"/>
      <w:divBdr>
        <w:top w:val="none" w:sz="0" w:space="0" w:color="auto"/>
        <w:left w:val="none" w:sz="0" w:space="0" w:color="auto"/>
        <w:bottom w:val="none" w:sz="0" w:space="0" w:color="auto"/>
        <w:right w:val="none" w:sz="0" w:space="0" w:color="auto"/>
      </w:divBdr>
    </w:div>
    <w:div w:id="1753308858">
      <w:marLeft w:val="0"/>
      <w:marRight w:val="0"/>
      <w:marTop w:val="150"/>
      <w:marBottom w:val="150"/>
      <w:divBdr>
        <w:top w:val="none" w:sz="0" w:space="0" w:color="auto"/>
        <w:left w:val="none" w:sz="0" w:space="0" w:color="auto"/>
        <w:bottom w:val="none" w:sz="0" w:space="0" w:color="auto"/>
        <w:right w:val="none" w:sz="0" w:space="0" w:color="auto"/>
      </w:divBdr>
    </w:div>
    <w:div w:id="1775131564">
      <w:marLeft w:val="0"/>
      <w:marRight w:val="0"/>
      <w:marTop w:val="180"/>
      <w:marBottom w:val="180"/>
      <w:divBdr>
        <w:top w:val="none" w:sz="0" w:space="0" w:color="auto"/>
        <w:left w:val="none" w:sz="0" w:space="0" w:color="auto"/>
        <w:bottom w:val="none" w:sz="0" w:space="0" w:color="auto"/>
        <w:right w:val="none" w:sz="0" w:space="0" w:color="auto"/>
      </w:divBdr>
    </w:div>
    <w:div w:id="1794788179">
      <w:marLeft w:val="0"/>
      <w:marRight w:val="0"/>
      <w:marTop w:val="150"/>
      <w:marBottom w:val="150"/>
      <w:divBdr>
        <w:top w:val="none" w:sz="0" w:space="0" w:color="auto"/>
        <w:left w:val="none" w:sz="0" w:space="0" w:color="auto"/>
        <w:bottom w:val="none" w:sz="0" w:space="0" w:color="auto"/>
        <w:right w:val="none" w:sz="0" w:space="0" w:color="auto"/>
      </w:divBdr>
    </w:div>
    <w:div w:id="1819373880">
      <w:marLeft w:val="0"/>
      <w:marRight w:val="0"/>
      <w:marTop w:val="150"/>
      <w:marBottom w:val="150"/>
      <w:divBdr>
        <w:top w:val="none" w:sz="0" w:space="0" w:color="auto"/>
        <w:left w:val="none" w:sz="0" w:space="0" w:color="auto"/>
        <w:bottom w:val="none" w:sz="0" w:space="0" w:color="auto"/>
        <w:right w:val="none" w:sz="0" w:space="0" w:color="auto"/>
      </w:divBdr>
    </w:div>
    <w:div w:id="1850296383">
      <w:marLeft w:val="0"/>
      <w:marRight w:val="0"/>
      <w:marTop w:val="150"/>
      <w:marBottom w:val="150"/>
      <w:divBdr>
        <w:top w:val="none" w:sz="0" w:space="0" w:color="auto"/>
        <w:left w:val="none" w:sz="0" w:space="0" w:color="auto"/>
        <w:bottom w:val="none" w:sz="0" w:space="0" w:color="auto"/>
        <w:right w:val="none" w:sz="0" w:space="0" w:color="auto"/>
      </w:divBdr>
    </w:div>
    <w:div w:id="1854294214">
      <w:marLeft w:val="0"/>
      <w:marRight w:val="0"/>
      <w:marTop w:val="150"/>
      <w:marBottom w:val="150"/>
      <w:divBdr>
        <w:top w:val="none" w:sz="0" w:space="0" w:color="auto"/>
        <w:left w:val="none" w:sz="0" w:space="0" w:color="auto"/>
        <w:bottom w:val="none" w:sz="0" w:space="0" w:color="auto"/>
        <w:right w:val="none" w:sz="0" w:space="0" w:color="auto"/>
      </w:divBdr>
    </w:div>
    <w:div w:id="1867329346">
      <w:marLeft w:val="0"/>
      <w:marRight w:val="0"/>
      <w:marTop w:val="150"/>
      <w:marBottom w:val="150"/>
      <w:divBdr>
        <w:top w:val="none" w:sz="0" w:space="0" w:color="auto"/>
        <w:left w:val="none" w:sz="0" w:space="0" w:color="auto"/>
        <w:bottom w:val="none" w:sz="0" w:space="0" w:color="auto"/>
        <w:right w:val="none" w:sz="0" w:space="0" w:color="auto"/>
      </w:divBdr>
    </w:div>
    <w:div w:id="1878659568">
      <w:marLeft w:val="0"/>
      <w:marRight w:val="0"/>
      <w:marTop w:val="150"/>
      <w:marBottom w:val="150"/>
      <w:divBdr>
        <w:top w:val="none" w:sz="0" w:space="0" w:color="auto"/>
        <w:left w:val="none" w:sz="0" w:space="0" w:color="auto"/>
        <w:bottom w:val="none" w:sz="0" w:space="0" w:color="auto"/>
        <w:right w:val="none" w:sz="0" w:space="0" w:color="auto"/>
      </w:divBdr>
    </w:div>
    <w:div w:id="1899512092">
      <w:marLeft w:val="0"/>
      <w:marRight w:val="0"/>
      <w:marTop w:val="150"/>
      <w:marBottom w:val="150"/>
      <w:divBdr>
        <w:top w:val="none" w:sz="0" w:space="0" w:color="auto"/>
        <w:left w:val="none" w:sz="0" w:space="0" w:color="auto"/>
        <w:bottom w:val="none" w:sz="0" w:space="0" w:color="auto"/>
        <w:right w:val="none" w:sz="0" w:space="0" w:color="auto"/>
      </w:divBdr>
    </w:div>
    <w:div w:id="1963726125">
      <w:marLeft w:val="0"/>
      <w:marRight w:val="0"/>
      <w:marTop w:val="150"/>
      <w:marBottom w:val="150"/>
      <w:divBdr>
        <w:top w:val="none" w:sz="0" w:space="0" w:color="auto"/>
        <w:left w:val="none" w:sz="0" w:space="0" w:color="auto"/>
        <w:bottom w:val="none" w:sz="0" w:space="0" w:color="auto"/>
        <w:right w:val="none" w:sz="0" w:space="0" w:color="auto"/>
      </w:divBdr>
    </w:div>
    <w:div w:id="2023166535">
      <w:marLeft w:val="0"/>
      <w:marRight w:val="0"/>
      <w:marTop w:val="180"/>
      <w:marBottom w:val="180"/>
      <w:divBdr>
        <w:top w:val="none" w:sz="0" w:space="0" w:color="auto"/>
        <w:left w:val="none" w:sz="0" w:space="0" w:color="auto"/>
        <w:bottom w:val="none" w:sz="0" w:space="0" w:color="auto"/>
        <w:right w:val="none" w:sz="0" w:space="0" w:color="auto"/>
      </w:divBdr>
    </w:div>
    <w:div w:id="2023628966">
      <w:marLeft w:val="0"/>
      <w:marRight w:val="0"/>
      <w:marTop w:val="150"/>
      <w:marBottom w:val="150"/>
      <w:divBdr>
        <w:top w:val="none" w:sz="0" w:space="0" w:color="auto"/>
        <w:left w:val="none" w:sz="0" w:space="0" w:color="auto"/>
        <w:bottom w:val="none" w:sz="0" w:space="0" w:color="auto"/>
        <w:right w:val="none" w:sz="0" w:space="0" w:color="auto"/>
      </w:divBdr>
    </w:div>
    <w:div w:id="2030830704">
      <w:marLeft w:val="0"/>
      <w:marRight w:val="0"/>
      <w:marTop w:val="150"/>
      <w:marBottom w:val="150"/>
      <w:divBdr>
        <w:top w:val="none" w:sz="0" w:space="0" w:color="auto"/>
        <w:left w:val="none" w:sz="0" w:space="0" w:color="auto"/>
        <w:bottom w:val="none" w:sz="0" w:space="0" w:color="auto"/>
        <w:right w:val="none" w:sz="0" w:space="0" w:color="auto"/>
      </w:divBdr>
    </w:div>
    <w:div w:id="2042855139">
      <w:marLeft w:val="0"/>
      <w:marRight w:val="0"/>
      <w:marTop w:val="150"/>
      <w:marBottom w:val="15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krgasbank.com/upload/raznoe/3kv20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A878-9E26-4BBF-9DC4-6E73C3B8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73</Pages>
  <Words>22800</Words>
  <Characters>129961</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Наталія Вікторівна</dc:creator>
  <cp:keywords/>
  <dc:description/>
  <cp:lastModifiedBy>Чайка Андрій Павлович</cp:lastModifiedBy>
  <cp:revision>33</cp:revision>
  <cp:lastPrinted>2012-10-22T11:22:00Z</cp:lastPrinted>
  <dcterms:created xsi:type="dcterms:W3CDTF">2012-10-19T14:55:00Z</dcterms:created>
  <dcterms:modified xsi:type="dcterms:W3CDTF">2015-01-26T14:09:00Z</dcterms:modified>
</cp:coreProperties>
</file>