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FD4874" w:rsidRPr="00765185">
        <w:trPr>
          <w:trHeight w:val="586"/>
        </w:trPr>
        <w:tc>
          <w:tcPr>
            <w:tcW w:w="4820" w:type="dxa"/>
          </w:tcPr>
          <w:p w:rsidR="00FD4874" w:rsidRPr="00765185" w:rsidRDefault="00FD4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D4874" w:rsidRPr="00765185" w:rsidRDefault="000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1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службова інформація</w:t>
            </w:r>
          </w:p>
          <w:p w:rsidR="00FD4874" w:rsidRPr="00765185" w:rsidRDefault="000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1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FD4874" w:rsidRPr="00D72450">
        <w:tc>
          <w:tcPr>
            <w:tcW w:w="4820" w:type="dxa"/>
          </w:tcPr>
          <w:p w:rsidR="00FD4874" w:rsidRPr="00765185" w:rsidRDefault="00FD4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D4874" w:rsidRPr="00765185" w:rsidRDefault="000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1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Наглядової ради</w:t>
            </w:r>
          </w:p>
          <w:p w:rsidR="00FD4874" w:rsidRPr="00765185" w:rsidRDefault="000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1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 «УКРГАЗБАНК»</w:t>
            </w:r>
          </w:p>
        </w:tc>
      </w:tr>
      <w:tr w:rsidR="00FD4874" w:rsidRPr="00D72450">
        <w:tc>
          <w:tcPr>
            <w:tcW w:w="4820" w:type="dxa"/>
          </w:tcPr>
          <w:p w:rsidR="00FD4874" w:rsidRPr="00765185" w:rsidRDefault="00FD4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D4874" w:rsidRPr="00765185" w:rsidRDefault="000D7CEC" w:rsidP="00D7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1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D72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04.07.2019 </w:t>
            </w:r>
            <w:r w:rsidRPr="007651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 №</w:t>
            </w:r>
            <w:r w:rsidR="00D72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bookmarkStart w:id="0" w:name="_GoBack"/>
            <w:bookmarkEnd w:id="0"/>
          </w:p>
        </w:tc>
      </w:tr>
      <w:tr w:rsidR="00FD4874" w:rsidRPr="00D72450">
        <w:tc>
          <w:tcPr>
            <w:tcW w:w="4820" w:type="dxa"/>
          </w:tcPr>
          <w:p w:rsidR="00FD4874" w:rsidRPr="00765185" w:rsidRDefault="00FD4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D4874" w:rsidRPr="00765185" w:rsidRDefault="000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1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Наглядової ради </w:t>
            </w:r>
          </w:p>
          <w:p w:rsidR="00FD4874" w:rsidRPr="00765185" w:rsidRDefault="00FD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4874" w:rsidRPr="00765185" w:rsidRDefault="000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1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  Давда Ш.Д.</w:t>
            </w:r>
          </w:p>
        </w:tc>
      </w:tr>
      <w:tr w:rsidR="00FD4874" w:rsidRPr="00D72450">
        <w:tc>
          <w:tcPr>
            <w:tcW w:w="4820" w:type="dxa"/>
          </w:tcPr>
          <w:p w:rsidR="00FD4874" w:rsidRPr="00765185" w:rsidRDefault="00FD487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D4874" w:rsidRPr="00765185" w:rsidRDefault="00FD4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0D7C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FD4874" w:rsidRPr="00765185" w:rsidRDefault="000D7C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b/>
          <w:sz w:val="24"/>
          <w:szCs w:val="24"/>
          <w:lang w:val="uk-UA"/>
        </w:rPr>
        <w:t>про комітет з управління ризиками Наглядової ради</w:t>
      </w:r>
    </w:p>
    <w:p w:rsidR="00FD4874" w:rsidRPr="00765185" w:rsidRDefault="000D7C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b/>
          <w:sz w:val="24"/>
          <w:szCs w:val="24"/>
          <w:lang w:val="uk-UA"/>
        </w:rPr>
        <w:t>ПУБЛІЧНОГО АКЦІОНЕРНОГО ТОВАРИСТВА АКЦІОНЕРНОГО БАНКУ «УКРГАЗБАНК»</w:t>
      </w: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0D7CE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             Київ – 2019 рік</w:t>
      </w:r>
    </w:p>
    <w:p w:rsidR="00FD4874" w:rsidRPr="00765185" w:rsidRDefault="00FD48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rPr>
          <w:lang w:val="uk-UA"/>
        </w:rPr>
      </w:pPr>
    </w:p>
    <w:p w:rsidR="00FD4874" w:rsidRPr="00765185" w:rsidRDefault="000D7CEC">
      <w:pPr>
        <w:pStyle w:val="11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ЗМІСТ</w:t>
      </w:r>
    </w:p>
    <w:p w:rsidR="00FD4874" w:rsidRPr="00765185" w:rsidRDefault="00FD4874">
      <w:pPr>
        <w:pStyle w:val="11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0D7CEC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instrText xml:space="preserve"> TOC \o "1-1" \h \z \u </w:instrTex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hyperlink w:anchor="_Toc533767286" w:history="1">
        <w:r w:rsidRPr="00765185">
          <w:rPr>
            <w:rStyle w:val="aa"/>
            <w:rFonts w:ascii="Times New Roman" w:hAnsi="Times New Roman" w:cs="Times New Roman"/>
            <w:noProof/>
            <w:sz w:val="24"/>
            <w:szCs w:val="24"/>
            <w:lang w:val="uk-U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Pr="00765185">
          <w:rPr>
            <w:rFonts w:ascii="Times New Roman" w:eastAsiaTheme="minorEastAsia" w:hAnsi="Times New Roman" w:cs="Times New Roman"/>
            <w:noProof/>
            <w:sz w:val="24"/>
            <w:szCs w:val="24"/>
            <w:lang w:val="uk-UA" w:eastAsia="uk-UA"/>
          </w:rPr>
          <w:tab/>
          <w:t>Загальні положення</w:t>
        </w:r>
        <w:r w:rsidRPr="00765185">
          <w:rPr>
            <w:rStyle w:val="aa"/>
            <w:rFonts w:ascii="Times New Roman" w:eastAsiaTheme="minorEastAsia" w:hAnsi="Times New Roman" w:cs="Times New Roman"/>
            <w:noProof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tab/>
        </w:r>
        <w:r w:rsidR="009C4826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3</w:t>
        </w:r>
      </w:hyperlink>
    </w:p>
    <w:p w:rsidR="00FD4874" w:rsidRPr="00765185" w:rsidRDefault="00D72450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533767287" w:history="1">
        <w:r w:rsidR="000D7CEC" w:rsidRPr="00765185">
          <w:rPr>
            <w:rStyle w:val="aa"/>
            <w:rFonts w:ascii="Times New Roman" w:hAnsi="Times New Roman" w:cs="Times New Roman"/>
            <w:noProof/>
            <w:sz w:val="24"/>
            <w:szCs w:val="24"/>
            <w:lang w:val="uk-U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0D7CEC" w:rsidRPr="00765185">
          <w:rPr>
            <w:rFonts w:ascii="Times New Roman" w:eastAsiaTheme="minorEastAsia" w:hAnsi="Times New Roman" w:cs="Times New Roman"/>
            <w:noProof/>
            <w:sz w:val="24"/>
            <w:szCs w:val="24"/>
            <w:lang w:val="uk-UA" w:eastAsia="uk-UA"/>
          </w:rPr>
          <w:tab/>
          <w:t>Принципи, мета, основні завдання та компетенція Комітету</w:t>
        </w:r>
        <w:r w:rsidR="000D7CEC" w:rsidRPr="00765185">
          <w:rPr>
            <w:rStyle w:val="aa"/>
            <w:rFonts w:ascii="Times New Roman" w:eastAsiaTheme="minorEastAsia" w:hAnsi="Times New Roman" w:cs="Times New Roman"/>
            <w:noProof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="000D7CEC"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tab/>
        </w:r>
        <w:r w:rsidR="009C4826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</w:t>
        </w:r>
      </w:hyperlink>
    </w:p>
    <w:p w:rsidR="00FD4874" w:rsidRPr="00765185" w:rsidRDefault="00D72450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533767288" w:history="1">
        <w:r w:rsidR="000D7CEC" w:rsidRPr="00765185">
          <w:rPr>
            <w:rStyle w:val="aa"/>
            <w:rFonts w:ascii="Times New Roman" w:hAnsi="Times New Roman" w:cs="Times New Roman"/>
            <w:noProof/>
            <w:sz w:val="24"/>
            <w:szCs w:val="24"/>
            <w:lang w:val="uk-U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0D7CEC" w:rsidRPr="00765185">
          <w:rPr>
            <w:rFonts w:ascii="Times New Roman" w:eastAsiaTheme="minorEastAsia" w:hAnsi="Times New Roman" w:cs="Times New Roman"/>
            <w:noProof/>
            <w:sz w:val="24"/>
            <w:szCs w:val="24"/>
            <w:lang w:val="uk-UA" w:eastAsia="uk-UA"/>
          </w:rPr>
          <w:tab/>
          <w:t>Склад Комітету</w:t>
        </w:r>
        <w:r w:rsidR="000D7CEC" w:rsidRPr="00765185">
          <w:rPr>
            <w:rStyle w:val="aa"/>
            <w:rFonts w:ascii="Times New Roman" w:eastAsiaTheme="minorEastAsia" w:hAnsi="Times New Roman" w:cs="Times New Roman"/>
            <w:noProof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="000D7CEC"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tab/>
        </w:r>
      </w:hyperlink>
      <w:r w:rsidR="000D7CEC" w:rsidRPr="00765185">
        <w:rPr>
          <w:rFonts w:ascii="Times New Roman" w:hAnsi="Times New Roman" w:cs="Times New Roman"/>
          <w:noProof/>
          <w:sz w:val="24"/>
          <w:szCs w:val="24"/>
          <w:lang w:val="uk-UA"/>
        </w:rPr>
        <w:t>7</w:t>
      </w:r>
    </w:p>
    <w:p w:rsidR="00FD4874" w:rsidRPr="00765185" w:rsidRDefault="00D72450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533767289" w:history="1">
        <w:r w:rsidR="000D7CEC" w:rsidRPr="00765185">
          <w:rPr>
            <w:rStyle w:val="aa"/>
            <w:rFonts w:ascii="Times New Roman" w:hAnsi="Times New Roman" w:cs="Times New Roman"/>
            <w:noProof/>
            <w:sz w:val="24"/>
            <w:szCs w:val="24"/>
            <w:lang w:val="uk-U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0D7CEC" w:rsidRPr="00765185">
          <w:rPr>
            <w:rFonts w:ascii="Times New Roman" w:eastAsiaTheme="minorEastAsia" w:hAnsi="Times New Roman" w:cs="Times New Roman"/>
            <w:noProof/>
            <w:sz w:val="24"/>
            <w:szCs w:val="24"/>
            <w:lang w:val="uk-UA" w:eastAsia="uk-UA"/>
          </w:rPr>
          <w:tab/>
          <w:t>Права та обов’язки голови та членів Комітету</w:t>
        </w:r>
        <w:r w:rsidR="000D7CEC" w:rsidRPr="00765185">
          <w:rPr>
            <w:rStyle w:val="aa"/>
            <w:rFonts w:ascii="Times New Roman" w:eastAsiaTheme="minorEastAsia" w:hAnsi="Times New Roman" w:cs="Times New Roman"/>
            <w:noProof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="000D7CEC"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tab/>
        </w:r>
      </w:hyperlink>
      <w:r w:rsidR="000D7CEC" w:rsidRPr="00765185">
        <w:rPr>
          <w:rFonts w:ascii="Times New Roman" w:hAnsi="Times New Roman" w:cs="Times New Roman"/>
          <w:noProof/>
          <w:sz w:val="24"/>
          <w:szCs w:val="24"/>
          <w:lang w:val="uk-UA"/>
        </w:rPr>
        <w:t>8</w:t>
      </w:r>
    </w:p>
    <w:p w:rsidR="00FD4874" w:rsidRPr="00765185" w:rsidRDefault="00D72450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533767290" w:history="1">
        <w:r w:rsidR="000D7CEC" w:rsidRPr="00765185">
          <w:rPr>
            <w:rStyle w:val="aa"/>
            <w:rFonts w:ascii="Times New Roman" w:hAnsi="Times New Roman" w:cs="Times New Roman"/>
            <w:noProof/>
            <w:sz w:val="24"/>
            <w:szCs w:val="24"/>
            <w:lang w:val="uk-U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0D7CEC" w:rsidRPr="00765185">
          <w:rPr>
            <w:rFonts w:ascii="Times New Roman" w:eastAsiaTheme="minorEastAsia" w:hAnsi="Times New Roman" w:cs="Times New Roman"/>
            <w:noProof/>
            <w:sz w:val="24"/>
            <w:szCs w:val="24"/>
            <w:lang w:val="uk-UA" w:eastAsia="uk-UA"/>
          </w:rPr>
          <w:tab/>
          <w:t>Порядок роботи Комітету</w:t>
        </w:r>
        <w:r w:rsidR="000D7CEC" w:rsidRPr="00765185">
          <w:rPr>
            <w:rStyle w:val="aa"/>
            <w:rFonts w:ascii="Times New Roman" w:eastAsiaTheme="minorEastAsia" w:hAnsi="Times New Roman" w:cs="Times New Roman"/>
            <w:noProof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="000D7CEC"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tab/>
        </w:r>
      </w:hyperlink>
      <w:r w:rsidR="000D7CEC" w:rsidRPr="00765185">
        <w:rPr>
          <w:rFonts w:ascii="Times New Roman" w:hAnsi="Times New Roman" w:cs="Times New Roman"/>
          <w:noProof/>
          <w:sz w:val="24"/>
          <w:szCs w:val="24"/>
          <w:lang w:val="uk-UA"/>
        </w:rPr>
        <w:t>11</w:t>
      </w:r>
    </w:p>
    <w:p w:rsidR="00FD4874" w:rsidRPr="009C4826" w:rsidRDefault="00D72450">
      <w:pPr>
        <w:pStyle w:val="11"/>
        <w:rPr>
          <w:rFonts w:ascii="Times New Roman" w:hAnsi="Times New Roman" w:cs="Times New Roman"/>
          <w:noProof/>
          <w:sz w:val="24"/>
          <w:szCs w:val="24"/>
          <w:lang w:val="en-US"/>
        </w:rPr>
      </w:pPr>
      <w:hyperlink w:anchor="_Toc533767291" w:history="1">
        <w:r w:rsidR="000D7CEC" w:rsidRPr="00765185">
          <w:rPr>
            <w:rStyle w:val="aa"/>
            <w:rFonts w:ascii="Times New Roman" w:hAnsi="Times New Roman" w:cs="Times New Roman"/>
            <w:noProof/>
            <w:sz w:val="24"/>
            <w:szCs w:val="24"/>
            <w:u w:val="none"/>
            <w:lang w:val="uk-U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0D7CEC" w:rsidRPr="00765185">
          <w:rPr>
            <w:rFonts w:ascii="Times New Roman" w:eastAsiaTheme="minorEastAsia" w:hAnsi="Times New Roman" w:cs="Times New Roman"/>
            <w:noProof/>
            <w:sz w:val="24"/>
            <w:szCs w:val="24"/>
            <w:lang w:val="uk-UA" w:eastAsia="uk-UA"/>
          </w:rPr>
          <w:tab/>
          <w:t>Відповідальність голови та членів Комітету</w:t>
        </w:r>
        <w:r w:rsidR="000D7CEC" w:rsidRPr="00765185">
          <w:rPr>
            <w:rStyle w:val="aa"/>
            <w:rFonts w:ascii="Times New Roman" w:eastAsiaTheme="minorEastAsia" w:hAnsi="Times New Roman" w:cs="Times New Roman"/>
            <w:noProof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="000D7CEC"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tab/>
        </w:r>
        <w:r w:rsidR="000D7CEC"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fldChar w:fldCharType="begin"/>
        </w:r>
        <w:r w:rsidR="000D7CEC"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instrText xml:space="preserve"> PAGEREF _Toc533767291 \h </w:instrText>
        </w:r>
        <w:r w:rsidR="000D7CEC"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</w:r>
        <w:r w:rsidR="000D7CEC"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fldChar w:fldCharType="separate"/>
        </w:r>
        <w:r w:rsidR="006A6F78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t>11</w:t>
        </w:r>
        <w:r w:rsidR="000D7CEC"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fldChar w:fldCharType="end"/>
        </w:r>
      </w:hyperlink>
    </w:p>
    <w:p w:rsidR="00FD4874" w:rsidRPr="009C4826" w:rsidRDefault="000D7CEC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val="en-US" w:eastAsia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\l "_Toc533767292" </w:instrTex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765185">
        <w:rPr>
          <w:rStyle w:val="aa"/>
          <w:rFonts w:ascii="Times New Roman" w:hAnsi="Times New Roman" w:cs="Times New Roman"/>
          <w:noProof/>
          <w:sz w:val="24"/>
          <w:szCs w:val="24"/>
          <w:u w:val="none"/>
          <w:lang w:val="uk-UA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7.</w:t>
      </w:r>
      <w:r w:rsidRPr="00765185"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  <w:tab/>
      </w:r>
      <w:hyperlink w:anchor="_Toc533767293" w:history="1">
        <w:r w:rsidRPr="00765185">
          <w:rPr>
            <w:rStyle w:val="aa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uk-UA"/>
          </w:rPr>
          <w:t>Заключні положення</w:t>
        </w:r>
        <w:r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tab/>
        </w:r>
        <w:r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fldChar w:fldCharType="begin"/>
        </w:r>
        <w:r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instrText xml:space="preserve"> PAGEREF _Toc533767293 \h </w:instrText>
        </w:r>
        <w:r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</w:r>
        <w:r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fldChar w:fldCharType="separate"/>
        </w:r>
        <w:r w:rsidR="006A6F78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t>18</w:t>
        </w:r>
        <w:r w:rsidRPr="00765185">
          <w:rPr>
            <w:rFonts w:ascii="Times New Roman" w:hAnsi="Times New Roman" w:cs="Times New Roman"/>
            <w:noProof/>
            <w:webHidden/>
            <w:sz w:val="24"/>
            <w:szCs w:val="24"/>
            <w:lang w:val="uk-UA"/>
          </w:rPr>
          <w:fldChar w:fldCharType="end"/>
        </w:r>
      </w:hyperlink>
    </w:p>
    <w:p w:rsidR="00FD4874" w:rsidRPr="00765185" w:rsidRDefault="000D7CEC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r w:rsidRPr="00765185">
        <w:rPr>
          <w:rFonts w:ascii="Times New Roman" w:hAnsi="Times New Roman" w:cs="Times New Roman"/>
          <w:noProof/>
          <w:webHidden/>
          <w:sz w:val="24"/>
          <w:szCs w:val="24"/>
          <w:lang w:val="uk-UA"/>
        </w:rPr>
        <w:tab/>
      </w:r>
      <w:r w:rsidRPr="00765185">
        <w:rPr>
          <w:rFonts w:ascii="Times New Roman" w:hAnsi="Times New Roman" w:cs="Times New Roman"/>
          <w:noProof/>
          <w:sz w:val="24"/>
          <w:szCs w:val="24"/>
          <w:lang w:val="uk-UA"/>
        </w:rPr>
        <w:fldChar w:fldCharType="end"/>
      </w:r>
    </w:p>
    <w:p w:rsidR="00FD4874" w:rsidRPr="00765185" w:rsidRDefault="000D7CE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:rsidR="00FD4874" w:rsidRPr="00765185" w:rsidRDefault="00FD4874">
      <w:pPr>
        <w:pStyle w:val="11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0D7CE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FD4874" w:rsidRPr="00765185" w:rsidRDefault="000D7CEC">
      <w:pPr>
        <w:pStyle w:val="1"/>
        <w:numPr>
          <w:ilvl w:val="0"/>
          <w:numId w:val="0"/>
        </w:numPr>
        <w:spacing w:after="0" w:line="360" w:lineRule="auto"/>
        <w:jc w:val="both"/>
      </w:pPr>
      <w:bookmarkStart w:id="1" w:name="_Toc531628738"/>
      <w:bookmarkStart w:id="2" w:name="_Toc531687148"/>
      <w:r w:rsidRPr="00765185">
        <w:lastRenderedPageBreak/>
        <w:t xml:space="preserve">Розділ І. </w:t>
      </w:r>
      <w:bookmarkStart w:id="3" w:name="_Toc533767287"/>
      <w:bookmarkEnd w:id="1"/>
      <w:bookmarkEnd w:id="2"/>
      <w:r w:rsidRPr="00765185">
        <w:t xml:space="preserve">ЗАГАЛЬНІ ПОЛОЖЕННЯ </w:t>
      </w:r>
    </w:p>
    <w:p w:rsidR="00FD4874" w:rsidRPr="00765185" w:rsidRDefault="00FD4874">
      <w:pPr>
        <w:rPr>
          <w:lang w:val="uk-UA"/>
        </w:rPr>
      </w:pPr>
    </w:p>
    <w:p w:rsidR="00FD4874" w:rsidRPr="00765185" w:rsidRDefault="000D7CEC">
      <w:pPr>
        <w:pStyle w:val="6"/>
        <w:tabs>
          <w:tab w:val="left" w:pos="567"/>
        </w:tabs>
        <w:spacing w:after="0" w:line="360" w:lineRule="auto"/>
        <w:ind w:left="567" w:hanging="567"/>
        <w:jc w:val="both"/>
      </w:pPr>
      <w:r w:rsidRPr="00765185">
        <w:t>Положення про Комітет з управління ризиками Наглядової ради ПУБЛІЧНОГО АКЦІОНЕРНОГО ТОВАРИСТВА АКЦІОНЕРНОГО БАНКУ «УКРГАЗБАНК» (далі - Положення) визначає основні завдання, склад, функції, обов’язки і права, порядок роботи Комітету з управління ризиками Наглядової ради ПУБЛІЧНОГО АКЦІОНЕРНОГО ТОВАРИСТВА АКЦІОНЕРНОГО БАНКУ «УКРГАЗБАНК» (далі – Рада), а також права, обов’язки та відповідальність Голови та членів Комітету з управління ризиками Ради (далі -  Комітет).</w:t>
      </w:r>
      <w:bookmarkEnd w:id="3"/>
    </w:p>
    <w:p w:rsidR="00FD4874" w:rsidRPr="00765185" w:rsidRDefault="000D7CEC">
      <w:pPr>
        <w:pStyle w:val="6"/>
        <w:tabs>
          <w:tab w:val="left" w:pos="567"/>
        </w:tabs>
        <w:spacing w:after="0" w:line="360" w:lineRule="auto"/>
        <w:ind w:left="567" w:hanging="567"/>
        <w:jc w:val="both"/>
      </w:pPr>
      <w:r w:rsidRPr="00765185">
        <w:t xml:space="preserve">Комітет здійснює свої функції та повноваження відповідно до законодавства України, зокрема, але не виключно, відповідних актів Національного банку України (далі – НБУ)  та  Національної комісії з цінних паперів та фондового ринку (далі – НКЦПФР), Статуту ПУБЛІЧНОГО АКЦІОНЕРНОГО ТОВАРИСТВА АКЦІОНЕРНОГО БАНКУ «УКРГАЗБАНК» (далі – Банк), Положення про Раду Банку, Кодексу корпоративного управління Банку, Політики організації системи внутрішнього контролю в Банку, Стратегії управління ризиками в Банку, політик управління ризиками та інших актів внутрішнього регулювання  Банку. </w:t>
      </w:r>
    </w:p>
    <w:p w:rsidR="00FD4874" w:rsidRPr="00765185" w:rsidRDefault="000D7CEC">
      <w:pPr>
        <w:pStyle w:val="6"/>
        <w:tabs>
          <w:tab w:val="left" w:pos="567"/>
        </w:tabs>
        <w:spacing w:after="0" w:line="360" w:lineRule="auto"/>
        <w:ind w:left="567" w:hanging="567"/>
        <w:jc w:val="both"/>
      </w:pPr>
      <w:r w:rsidRPr="00765185">
        <w:t>Положення також враховує рекомендації міжнародних інституцій, зокрема, але не виключно, рекомендацій Базельського комітету з банківського нагляду, викладених в узагальненні «Принципи корпоративного управління для банків»</w:t>
      </w:r>
      <w:r w:rsidRPr="00765185">
        <w:rPr>
          <w:rStyle w:val="ad"/>
        </w:rPr>
        <w:footnoteReference w:id="1"/>
      </w:r>
      <w:r w:rsidRPr="00765185">
        <w:t xml:space="preserve"> та рекомендацій Європейського банківського регулятора «Рекомендації щодо внутрішнього регулювання (оновлені)».</w:t>
      </w:r>
      <w:r w:rsidRPr="00765185">
        <w:rPr>
          <w:rStyle w:val="ad"/>
        </w:rPr>
        <w:footnoteReference w:id="2"/>
      </w:r>
    </w:p>
    <w:p w:rsidR="00FD4874" w:rsidRPr="00765185" w:rsidRDefault="000D7CEC">
      <w:pPr>
        <w:pStyle w:val="6"/>
        <w:tabs>
          <w:tab w:val="left" w:pos="567"/>
        </w:tabs>
        <w:spacing w:after="0" w:line="360" w:lineRule="auto"/>
        <w:ind w:left="567" w:hanging="567"/>
        <w:jc w:val="both"/>
      </w:pPr>
      <w:r w:rsidRPr="00765185">
        <w:t xml:space="preserve">Комітет є постійним колегіальним органом, що створений Радою та надає допомогу Раді у здійсненні  попереднього вивчення і підготовки до розгляду на засіданнях Ради питань, що належать до її компетенції та  у виконанні функцій з управління ризиками, які були делеговані Комітету. </w:t>
      </w:r>
    </w:p>
    <w:p w:rsidR="00FD4874" w:rsidRPr="00765185" w:rsidRDefault="000D7CEC">
      <w:pPr>
        <w:pStyle w:val="6"/>
        <w:tabs>
          <w:tab w:val="left" w:pos="567"/>
        </w:tabs>
        <w:spacing w:after="0" w:line="360" w:lineRule="auto"/>
        <w:ind w:left="567" w:hanging="567"/>
        <w:jc w:val="both"/>
      </w:pPr>
      <w:r w:rsidRPr="00765185">
        <w:t>Питання, які належать до повноважень Комітету, розглядаються на його засіданнях у порядку, визначеному цим Положенням.</w:t>
      </w:r>
    </w:p>
    <w:p w:rsidR="00FD4874" w:rsidRPr="00765185" w:rsidRDefault="00FD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FD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0D7CEC">
      <w:pPr>
        <w:pStyle w:val="1"/>
        <w:numPr>
          <w:ilvl w:val="0"/>
          <w:numId w:val="0"/>
        </w:numPr>
        <w:spacing w:after="0" w:line="360" w:lineRule="auto"/>
        <w:jc w:val="both"/>
      </w:pPr>
      <w:bookmarkStart w:id="4" w:name="_Toc533767288"/>
      <w:r w:rsidRPr="00765185">
        <w:lastRenderedPageBreak/>
        <w:t xml:space="preserve">Розділ ІІ. ПРИНЦИПИ, МЕТА, ОСНОВНІ ЗАВДАННЯ ТА КОМПЕТЕНЦІЯ КОМІТЕТУ </w:t>
      </w:r>
    </w:p>
    <w:p w:rsidR="00FD4874" w:rsidRPr="00765185" w:rsidRDefault="00FD4874">
      <w:pPr>
        <w:rPr>
          <w:lang w:val="uk-UA"/>
        </w:rPr>
      </w:pPr>
    </w:p>
    <w:p w:rsidR="00FD4874" w:rsidRPr="00765185" w:rsidRDefault="000D7CEC">
      <w:pPr>
        <w:numPr>
          <w:ilvl w:val="1"/>
          <w:numId w:val="37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Комітет докладає своїх найкращих зусиль задля створення комплексної, адекватної та ефективної системи управління ризиками та базує свою діяльність на наступних принципах:</w:t>
      </w:r>
    </w:p>
    <w:p w:rsidR="00FD4874" w:rsidRPr="00765185" w:rsidRDefault="000D7CEC">
      <w:pPr>
        <w:pStyle w:val="a0"/>
        <w:numPr>
          <w:ilvl w:val="0"/>
          <w:numId w:val="38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ефективність; </w:t>
      </w:r>
    </w:p>
    <w:p w:rsidR="00FD4874" w:rsidRPr="00765185" w:rsidRDefault="000D7CEC">
      <w:pPr>
        <w:pStyle w:val="a0"/>
        <w:numPr>
          <w:ilvl w:val="0"/>
          <w:numId w:val="38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своєчасність; </w:t>
      </w:r>
    </w:p>
    <w:p w:rsidR="00FD4874" w:rsidRPr="00765185" w:rsidRDefault="000D7CEC">
      <w:pPr>
        <w:pStyle w:val="a0"/>
        <w:numPr>
          <w:ilvl w:val="0"/>
          <w:numId w:val="38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структурованість; </w:t>
      </w:r>
    </w:p>
    <w:p w:rsidR="00FD4874" w:rsidRPr="00765185" w:rsidRDefault="000D7CEC">
      <w:pPr>
        <w:pStyle w:val="a0"/>
        <w:numPr>
          <w:ilvl w:val="0"/>
          <w:numId w:val="38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розмежування обов'язків; </w:t>
      </w:r>
    </w:p>
    <w:p w:rsidR="00FD4874" w:rsidRPr="00765185" w:rsidRDefault="000D7CEC">
      <w:pPr>
        <w:pStyle w:val="a0"/>
        <w:numPr>
          <w:ilvl w:val="0"/>
          <w:numId w:val="38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усебічність та комплексність;</w:t>
      </w:r>
    </w:p>
    <w:p w:rsidR="00FD4874" w:rsidRPr="00765185" w:rsidRDefault="000D7CEC">
      <w:pPr>
        <w:pStyle w:val="a0"/>
        <w:numPr>
          <w:ilvl w:val="0"/>
          <w:numId w:val="38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пропорційність;</w:t>
      </w:r>
    </w:p>
    <w:p w:rsidR="00FD4874" w:rsidRPr="00765185" w:rsidRDefault="000D7CEC">
      <w:pPr>
        <w:pStyle w:val="a0"/>
        <w:numPr>
          <w:ilvl w:val="0"/>
          <w:numId w:val="38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незалежність;</w:t>
      </w:r>
    </w:p>
    <w:p w:rsidR="00FD4874" w:rsidRPr="00765185" w:rsidRDefault="000D7CEC">
      <w:pPr>
        <w:pStyle w:val="a0"/>
        <w:numPr>
          <w:ilvl w:val="0"/>
          <w:numId w:val="38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конфіденційність; та </w:t>
      </w:r>
    </w:p>
    <w:p w:rsidR="00FD4874" w:rsidRPr="00765185" w:rsidRDefault="000D7CEC">
      <w:pPr>
        <w:pStyle w:val="a0"/>
        <w:numPr>
          <w:ilvl w:val="0"/>
          <w:numId w:val="38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прозорість.</w:t>
      </w:r>
    </w:p>
    <w:p w:rsidR="00FD4874" w:rsidRPr="00765185" w:rsidRDefault="000D7CEC">
      <w:pPr>
        <w:numPr>
          <w:ilvl w:val="1"/>
          <w:numId w:val="37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Основною метою створення і діяльності Комітету є надання допомоги Раді у реалізації її повноважень щодо здійснення нагляду за ефективністю функціонування системи управління ризиками Банку, реалізації стратегії та політик управління ризиками та кредитної політики Банку. </w:t>
      </w:r>
    </w:p>
    <w:p w:rsidR="00FD4874" w:rsidRPr="00765185" w:rsidRDefault="000D7CEC">
      <w:pPr>
        <w:numPr>
          <w:ilvl w:val="1"/>
          <w:numId w:val="37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Основні завдання Комітету:</w:t>
      </w:r>
    </w:p>
    <w:p w:rsidR="00FD4874" w:rsidRPr="00765185" w:rsidRDefault="000D7CEC">
      <w:pPr>
        <w:numPr>
          <w:ilvl w:val="2"/>
          <w:numId w:val="37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забезпечення наявності та підтримання в актуальному стані актів внутрішнього регулювання, що регламентують процес управління ризиками та кредитну політику Банку, відповідно до вимог законодавства;</w:t>
      </w:r>
    </w:p>
    <w:p w:rsidR="00FD4874" w:rsidRPr="00765185" w:rsidRDefault="000D7CEC">
      <w:pPr>
        <w:numPr>
          <w:ilvl w:val="2"/>
          <w:numId w:val="37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регулярний моніторинг та аналіз поточного профілю та рівня ризиків, що приймаються Банком;</w:t>
      </w:r>
    </w:p>
    <w:p w:rsidR="00FD4874" w:rsidRPr="00765185" w:rsidRDefault="000D7CEC">
      <w:pPr>
        <w:numPr>
          <w:ilvl w:val="2"/>
          <w:numId w:val="37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контроль за дотриманням граничних показників ризиків, що встановлені Радою.</w:t>
      </w:r>
    </w:p>
    <w:p w:rsidR="00FD4874" w:rsidRPr="00765185" w:rsidRDefault="000D7CEC">
      <w:pPr>
        <w:numPr>
          <w:ilvl w:val="1"/>
          <w:numId w:val="37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визначених мети та основних завдань до компетенції Комітету належить: </w:t>
      </w:r>
    </w:p>
    <w:p w:rsidR="00FD4874" w:rsidRPr="00765185" w:rsidRDefault="000D7CEC">
      <w:pPr>
        <w:numPr>
          <w:ilvl w:val="2"/>
          <w:numId w:val="37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щодо внутрішньобанківських документів:</w:t>
      </w:r>
    </w:p>
    <w:p w:rsidR="00FD4874" w:rsidRPr="00765185" w:rsidRDefault="000D7CEC">
      <w:pPr>
        <w:pStyle w:val="a0"/>
        <w:numPr>
          <w:ilvl w:val="3"/>
          <w:numId w:val="37"/>
        </w:numPr>
        <w:tabs>
          <w:tab w:val="left" w:pos="2410"/>
        </w:tabs>
        <w:autoSpaceDE w:val="0"/>
        <w:autoSpaceDN w:val="0"/>
        <w:spacing w:after="0" w:line="360" w:lineRule="auto"/>
        <w:ind w:left="2268" w:hanging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розроблення, забезпечення розроблення та/або участь у розробленні внутрішньобанківських документів, а також регулярний перегляд їх з метою актуалізації та здійснення контролю за їх впровадженням та дотриманням. </w:t>
      </w:r>
    </w:p>
    <w:p w:rsidR="00FD4874" w:rsidRPr="00765185" w:rsidRDefault="000D7CEC">
      <w:pPr>
        <w:pStyle w:val="a0"/>
        <w:tabs>
          <w:tab w:val="left" w:pos="2410"/>
        </w:tabs>
        <w:autoSpaceDE w:val="0"/>
        <w:autoSpaceDN w:val="0"/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Документи, зазначені у цьому підпункті,  за необхідності, мають переглядатись Комітетом один раз на рік, якщо відсутня потреба перегляду документів частіше. Задля перегляду з метою актуалізації документів, зазначених у цьому підпункті, Комітет має право проводити зустрічі та консультації з представниками Банку, які задіяні у системі управління ризиками Банку чи іншими працівниками Банку, та проводити інші дорадчі заходи з метою ідентифікації питань, що потребують уточнення в документації щодо управління ризиками Банку;</w:t>
      </w:r>
    </w:p>
    <w:p w:rsidR="00FD4874" w:rsidRPr="00765185" w:rsidRDefault="000D7CEC">
      <w:pPr>
        <w:pStyle w:val="a0"/>
        <w:numPr>
          <w:ilvl w:val="3"/>
          <w:numId w:val="37"/>
        </w:numPr>
        <w:tabs>
          <w:tab w:val="left" w:pos="2410"/>
        </w:tabs>
        <w:autoSpaceDE w:val="0"/>
        <w:autoSpaceDN w:val="0"/>
        <w:spacing w:after="0" w:line="360" w:lineRule="auto"/>
        <w:ind w:left="2268" w:hanging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 контролю за впровадженням та дотриманням внутрішньобанківських документів щодо системи управління ризиками Банку. Задля виконання цих обов’язків окремо чи у повному складі члени Комітету можуть проводити консультації з працівниками Банку, зокрема, з тими, які залучені до системи управління ризиками Банку, надавати запити на звіти про ефективність системи управління ризиками чи у інший спосіб проводити заходи контролю та дотримання правил, встановлених внутрішньобанківськими документами щодо системи управління ризиками;</w:t>
      </w:r>
    </w:p>
    <w:p w:rsidR="00FD4874" w:rsidRPr="00765185" w:rsidRDefault="000D7CEC">
      <w:pPr>
        <w:numPr>
          <w:ilvl w:val="2"/>
          <w:numId w:val="37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щодо усунення недоліків у функціонуванні системи управління ризикам:</w:t>
      </w:r>
    </w:p>
    <w:p w:rsidR="00FD4874" w:rsidRPr="00765185" w:rsidRDefault="000D7CEC">
      <w:pPr>
        <w:pStyle w:val="a0"/>
        <w:numPr>
          <w:ilvl w:val="3"/>
          <w:numId w:val="37"/>
        </w:numPr>
        <w:tabs>
          <w:tab w:val="left" w:pos="2410"/>
        </w:tabs>
        <w:autoSpaceDE w:val="0"/>
        <w:autoSpaceDN w:val="0"/>
        <w:spacing w:after="0" w:line="360" w:lineRule="auto"/>
        <w:ind w:left="2268" w:hanging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 контролю за станом виконання заходів щодо оперативного усунення недоліків у функціонуванні системи управління ризиками, виконання рекомендацій і зауважень підрозділу внутрішнього аудиту, зовнішніх аудиторів, НБУ та інших контролюючих органів.</w:t>
      </w:r>
    </w:p>
    <w:p w:rsidR="00FD4874" w:rsidRPr="00765185" w:rsidRDefault="000D7CEC">
      <w:pPr>
        <w:pStyle w:val="a0"/>
        <w:tabs>
          <w:tab w:val="left" w:pos="2410"/>
        </w:tabs>
        <w:autoSpaceDE w:val="0"/>
        <w:autoSpaceDN w:val="0"/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Комітет має право зменшувати  строки реагування на</w:t>
      </w:r>
      <w:r w:rsidR="006A6F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рекомендації і зауваження, порівняно з тими,  які зазначені  у відповідному документі підрозділу внутрішнього аудиту Банку, зовнішніх аудиторів, НБУ та інших контролюючих органів; встановлювати періодичність звітування про стан виконання відповідних рекомендацій і зауважень;</w:t>
      </w:r>
    </w:p>
    <w:p w:rsidR="00FD4874" w:rsidRPr="00765185" w:rsidRDefault="000D7CEC">
      <w:pPr>
        <w:pStyle w:val="a0"/>
        <w:numPr>
          <w:ilvl w:val="3"/>
          <w:numId w:val="37"/>
        </w:numPr>
        <w:tabs>
          <w:tab w:val="left" w:pos="2410"/>
        </w:tabs>
        <w:autoSpaceDE w:val="0"/>
        <w:autoSpaceDN w:val="0"/>
        <w:spacing w:after="0" w:line="360" w:lineRule="auto"/>
        <w:ind w:left="2268" w:hanging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попередній розгляд проектів стратегії та політики управління ризиками, кредитної політики, порядку здійснення операцій з пов’язаними з Банком особами та інших документів з питань 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управління ризиками, що виносяться на розгляд та/або затвердження Радою;</w:t>
      </w:r>
    </w:p>
    <w:p w:rsidR="00FD4874" w:rsidRPr="00765185" w:rsidRDefault="000D7CEC">
      <w:pPr>
        <w:pStyle w:val="a0"/>
        <w:numPr>
          <w:ilvl w:val="3"/>
          <w:numId w:val="37"/>
        </w:numPr>
        <w:tabs>
          <w:tab w:val="left" w:pos="2410"/>
        </w:tabs>
        <w:autoSpaceDE w:val="0"/>
        <w:autoSpaceDN w:val="0"/>
        <w:spacing w:after="0" w:line="360" w:lineRule="auto"/>
        <w:ind w:left="2268" w:hanging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надання Раді пропозицій щодо удосконалення системи управління ризиками;</w:t>
      </w:r>
    </w:p>
    <w:p w:rsidR="00FD4874" w:rsidRPr="00765185" w:rsidRDefault="000D7CEC">
      <w:pPr>
        <w:numPr>
          <w:ilvl w:val="2"/>
          <w:numId w:val="37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щодо ціноутворення / установлення тарифів:</w:t>
      </w:r>
    </w:p>
    <w:p w:rsidR="00FD4874" w:rsidRPr="00765185" w:rsidRDefault="000D7CEC">
      <w:pPr>
        <w:pStyle w:val="a0"/>
        <w:numPr>
          <w:ilvl w:val="3"/>
          <w:numId w:val="37"/>
        </w:numPr>
        <w:tabs>
          <w:tab w:val="left" w:pos="2268"/>
        </w:tabs>
        <w:autoSpaceDE w:val="0"/>
        <w:autoSpaceDN w:val="0"/>
        <w:spacing w:after="0" w:line="360" w:lineRule="auto"/>
        <w:ind w:left="2268" w:hanging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 контролю за тим, щоб ціноутворення / установлення тарифів на банківські продукти Банку враховували бізнес-модель Банку та стратегію управління ризиками Банку;</w:t>
      </w:r>
    </w:p>
    <w:p w:rsidR="00FD4874" w:rsidRPr="00765185" w:rsidRDefault="000D7CEC">
      <w:pPr>
        <w:pStyle w:val="a0"/>
        <w:tabs>
          <w:tab w:val="left" w:pos="2268"/>
        </w:tabs>
        <w:autoSpaceDE w:val="0"/>
        <w:autoSpaceDN w:val="0"/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Задля реалізації положень цього підпункту, Комітет має право надати запит відповідному підрозділу Банку чи працівнику Банку на звіт щодо співвідношення цін чи тарифів Банку та ризику Банку, а відповідні підрозділи / працівники не рідше аніж один раз на рік чи одразу після потенційного виникнення дисбалансу співвідношення цін чи тарифів Банку та ризику Банку мають надавати звіти Комітету щодо такого співвідношення. В разі, якщо співвідношення цін чи тарифів не покривають ризики Банку, то Комітет повинен розробити заходи щодо усунення недоліків співвідношення та подати їх на розгляд та затвердження Раді;</w:t>
      </w:r>
    </w:p>
    <w:p w:rsidR="00FD4874" w:rsidRPr="00765185" w:rsidRDefault="000D7CEC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щодо звітування Комітету:</w:t>
      </w:r>
    </w:p>
    <w:p w:rsidR="00FD4874" w:rsidRPr="00765185" w:rsidRDefault="000D7CEC">
      <w:pPr>
        <w:pStyle w:val="a0"/>
        <w:numPr>
          <w:ilvl w:val="3"/>
          <w:numId w:val="37"/>
        </w:numPr>
        <w:tabs>
          <w:tab w:val="left" w:pos="2268"/>
        </w:tabs>
        <w:autoSpaceDE w:val="0"/>
        <w:autoSpaceDN w:val="0"/>
        <w:spacing w:after="0" w:line="360" w:lineRule="auto"/>
        <w:ind w:left="2268" w:hanging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звітування перед Радою  щодо покладених на нього функцій.</w:t>
      </w:r>
    </w:p>
    <w:p w:rsidR="00FD4874" w:rsidRPr="00765185" w:rsidRDefault="000D7CEC">
      <w:pPr>
        <w:pStyle w:val="a0"/>
        <w:tabs>
          <w:tab w:val="left" w:pos="2268"/>
        </w:tabs>
        <w:autoSpaceDE w:val="0"/>
        <w:autoSpaceDN w:val="0"/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Звіт Комітету подається Раді не рідше одного разу на квартал. </w:t>
      </w:r>
    </w:p>
    <w:p w:rsidR="00FD4874" w:rsidRPr="00765185" w:rsidRDefault="000D7CEC">
      <w:pPr>
        <w:pStyle w:val="a0"/>
        <w:numPr>
          <w:ilvl w:val="3"/>
          <w:numId w:val="37"/>
        </w:numPr>
        <w:tabs>
          <w:tab w:val="left" w:pos="2268"/>
        </w:tabs>
        <w:autoSpaceDE w:val="0"/>
        <w:autoSpaceDN w:val="0"/>
        <w:spacing w:after="0" w:line="360" w:lineRule="auto"/>
        <w:ind w:left="2268" w:hanging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В рамках здійснення Радою контролю за ефективністю функціонування системи управління ризиками проведення попереднього розгляду питань, пов’язаних з усуненням недоліків, виявлених НБУ та іншими органами державної влади та управління, які в межах компетенції здійснюють нагляд за діяльністю Банку, підрозділом внутрішнього аудиту та аудиторською фірмою, за результатами проведення зовнішнього аудиту. </w:t>
      </w:r>
    </w:p>
    <w:p w:rsidR="00FD4874" w:rsidRPr="00765185" w:rsidRDefault="000D7CEC">
      <w:pPr>
        <w:numPr>
          <w:ilvl w:val="1"/>
          <w:numId w:val="37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Комітет може здійснювати попереднє вивчення та розгляд інших питань, що належать до компетенції Ради, у разі внесення змін до цього Положення або прийняття Радою окремого рішення.</w:t>
      </w:r>
    </w:p>
    <w:p w:rsidR="00FD4874" w:rsidRPr="00765185" w:rsidRDefault="000D7CEC">
      <w:pPr>
        <w:numPr>
          <w:ilvl w:val="1"/>
          <w:numId w:val="37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Комітет має право:</w:t>
      </w:r>
    </w:p>
    <w:p w:rsidR="00FD4874" w:rsidRPr="00765185" w:rsidRDefault="000D7CEC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ініціювати скликання в позачерговому порядку засідання Ради;</w:t>
      </w:r>
    </w:p>
    <w:p w:rsidR="00FD4874" w:rsidRPr="00765185" w:rsidRDefault="000D7CEC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вносити пропозиції Раді з питань, які відносяться до компетенції Комітету, ініціювати внесення питань до порядку денного засідань Ради;</w:t>
      </w:r>
    </w:p>
    <w:p w:rsidR="00FD4874" w:rsidRPr="00765185" w:rsidRDefault="000D7CEC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Надавати рекомендації Правлінню Банку, колегіальним органам Правління Банку та самостійним структурним підрозділам Банку в межах повноважень Комітету;</w:t>
      </w:r>
    </w:p>
    <w:p w:rsidR="00FD4874" w:rsidRPr="00765185" w:rsidRDefault="000D7CEC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заслуховувати звіти керівників структурних підрозділів Банку, подавати Раді та Правлінню Банку пропозиції щодо вжиття заходів за результатами звітів;</w:t>
      </w:r>
    </w:p>
    <w:p w:rsidR="00FD4874" w:rsidRPr="00765185" w:rsidRDefault="000D7CEC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ініціювати та брати участь у спільних засіданнях з органами управління та контролю Банку.</w:t>
      </w:r>
    </w:p>
    <w:p w:rsidR="00FD4874" w:rsidRPr="00765185" w:rsidRDefault="00FD4874">
      <w:pPr>
        <w:pStyle w:val="1"/>
        <w:numPr>
          <w:ilvl w:val="0"/>
          <w:numId w:val="0"/>
        </w:numPr>
        <w:spacing w:after="0" w:line="360" w:lineRule="auto"/>
        <w:jc w:val="both"/>
        <w:rPr>
          <w:b w:val="0"/>
        </w:rPr>
      </w:pPr>
    </w:p>
    <w:p w:rsidR="00FD4874" w:rsidRPr="00765185" w:rsidRDefault="000D7CEC">
      <w:pPr>
        <w:pStyle w:val="1"/>
        <w:numPr>
          <w:ilvl w:val="0"/>
          <w:numId w:val="0"/>
        </w:numPr>
        <w:spacing w:after="0" w:line="360" w:lineRule="auto"/>
        <w:jc w:val="both"/>
      </w:pPr>
      <w:r w:rsidRPr="00765185">
        <w:t xml:space="preserve">Розділ ІІІ. СКЛАД КОМІТЕТУ </w:t>
      </w:r>
    </w:p>
    <w:p w:rsidR="00FD4874" w:rsidRPr="00765185" w:rsidRDefault="00FD4874">
      <w:pPr>
        <w:rPr>
          <w:lang w:val="uk-UA"/>
        </w:rPr>
      </w:pPr>
    </w:p>
    <w:p w:rsidR="00FD4874" w:rsidRPr="00765185" w:rsidRDefault="000D7CEC">
      <w:pPr>
        <w:numPr>
          <w:ilvl w:val="1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Комітет створюється з числа членів Ради. </w:t>
      </w:r>
    </w:p>
    <w:p w:rsidR="00FD4874" w:rsidRPr="00765185" w:rsidRDefault="000D7CEC">
      <w:pPr>
        <w:numPr>
          <w:ilvl w:val="1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До складу Комітету входять Голова та члени Комітету.</w:t>
      </w:r>
    </w:p>
    <w:p w:rsidR="00FD4874" w:rsidRPr="00765185" w:rsidRDefault="000D7CEC">
      <w:pPr>
        <w:numPr>
          <w:ilvl w:val="1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Кількісний склад Комітету має бути не меншим  3 (трьох) осіб.</w:t>
      </w:r>
    </w:p>
    <w:p w:rsidR="00FD4874" w:rsidRPr="00765185" w:rsidRDefault="000D7CEC">
      <w:pPr>
        <w:numPr>
          <w:ilvl w:val="1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Очолює Комітет член Ради, обраний Радою з числа її членів. </w:t>
      </w:r>
    </w:p>
    <w:p w:rsidR="00FD4874" w:rsidRPr="00765185" w:rsidRDefault="000D7CEC">
      <w:pPr>
        <w:numPr>
          <w:ilvl w:val="1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Персональний та кількісний склад Комітету затверджується рішенням Ради. </w:t>
      </w:r>
    </w:p>
    <w:p w:rsidR="00FD4874" w:rsidRPr="00765185" w:rsidRDefault="000D7CEC">
      <w:pPr>
        <w:numPr>
          <w:ilvl w:val="1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Голова та члени Комітету  виконують свої обов’язки відповідно до цього Положення до дати прийняття Наглядовою радою Банку рішення щодо затвердження нового персонального складу Комітету або переобрання/припинення повноважень Голови та членів Комітету, але в будь-якому випадку не пізніше дати припинення повноважень Голови та членів Наглядової ради Банку, які приймали рішення стосовно відповідного складу Комітету.</w:t>
      </w:r>
    </w:p>
    <w:p w:rsidR="00FD4874" w:rsidRPr="00765185" w:rsidRDefault="000D7CEC">
      <w:pPr>
        <w:numPr>
          <w:ilvl w:val="1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Голова Комітету:</w:t>
      </w:r>
    </w:p>
    <w:p w:rsidR="00FD4874" w:rsidRPr="00765185" w:rsidRDefault="000D7CEC">
      <w:pPr>
        <w:numPr>
          <w:ilvl w:val="2"/>
          <w:numId w:val="43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організовує роботу Комітету та здійснює контроль за його роботою;</w:t>
      </w:r>
    </w:p>
    <w:p w:rsidR="00FD4874" w:rsidRPr="00765185" w:rsidRDefault="000D7CEC">
      <w:pPr>
        <w:numPr>
          <w:ilvl w:val="2"/>
          <w:numId w:val="43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скликає засідання Комітету та головує на них, затверджує порядок денний засідань, забезпечує дотримання порядку денного засідань, організовує ведення протоколів засідань Комітету та забезпечує зберігання протоколів Комітету;</w:t>
      </w:r>
    </w:p>
    <w:p w:rsidR="00FD4874" w:rsidRPr="00765185" w:rsidRDefault="000D7CEC">
      <w:pPr>
        <w:numPr>
          <w:ilvl w:val="2"/>
          <w:numId w:val="43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звітує перед Радою про діяльність Комітету;</w:t>
      </w:r>
    </w:p>
    <w:p w:rsidR="00FD4874" w:rsidRPr="00765185" w:rsidRDefault="000D7CEC">
      <w:pPr>
        <w:numPr>
          <w:ilvl w:val="2"/>
          <w:numId w:val="43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підтримує постійні контакти із іншими органами та посадовими особами Банку;</w:t>
      </w:r>
    </w:p>
    <w:p w:rsidR="00FD4874" w:rsidRPr="00765185" w:rsidRDefault="000D7CEC">
      <w:pPr>
        <w:numPr>
          <w:ilvl w:val="2"/>
          <w:numId w:val="43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надає членам Комітету, членам Правління та керівникам самостійних структурних підрозділів Банку доручення, які випливають із завдань та функцій, покладених на Комітет.</w:t>
      </w:r>
    </w:p>
    <w:p w:rsidR="00FD4874" w:rsidRPr="00765185" w:rsidRDefault="000D7CEC">
      <w:pPr>
        <w:numPr>
          <w:ilvl w:val="1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Секретарем  Комітету за рішенням Комітету є  корпоративний секретар або інший працівник структурного підрозділу Банку.</w:t>
      </w:r>
    </w:p>
    <w:p w:rsidR="00FD4874" w:rsidRPr="00765185" w:rsidRDefault="000D7CEC">
      <w:pPr>
        <w:numPr>
          <w:ilvl w:val="1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Секретар Комітету відповідає за організаційне забезпечення підготовки та проведення засідань Комітету, забезпечує підготовку і ведення протоколів засідань, забезпечує зберігання протоколів Комітету, ведення листування з питань діяльності Комітету та доведення рішень Комітету до зацікавлених органів і осіб Банку.</w:t>
      </w:r>
    </w:p>
    <w:p w:rsidR="00FD4874" w:rsidRPr="00765185" w:rsidRDefault="00FD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0D7CEC">
      <w:pPr>
        <w:pStyle w:val="1"/>
        <w:numPr>
          <w:ilvl w:val="0"/>
          <w:numId w:val="0"/>
        </w:numPr>
        <w:spacing w:after="0" w:line="360" w:lineRule="auto"/>
        <w:jc w:val="both"/>
      </w:pPr>
      <w:r w:rsidRPr="00765185">
        <w:t xml:space="preserve">Розділ IV. ПРАВА ТА ОБОВ’ЯЗКИ ГОЛОВИ ТА ЧЛЕНІВ КОМІТЕТУ </w:t>
      </w:r>
    </w:p>
    <w:p w:rsidR="00FD4874" w:rsidRPr="00765185" w:rsidRDefault="00FD4874">
      <w:pPr>
        <w:rPr>
          <w:lang w:val="uk-UA"/>
        </w:rPr>
      </w:pPr>
    </w:p>
    <w:p w:rsidR="00FD4874" w:rsidRPr="00765185" w:rsidRDefault="000D7CEC">
      <w:pPr>
        <w:numPr>
          <w:ilvl w:val="1"/>
          <w:numId w:val="45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Голова та члени Комітету мають право: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Запитувати та отримувати будь-яку інформацію та документи Банку, необхідні для виконання своїх функцій, отримувати копії документів. Вищезазначена інформація та документи мають надаватися членам Комітету протягом 10 (десяти) робочих днів, а у разі скликання позачергових засідань Комітету - протягом 2 (двох) робочих днів з дати отримання Банком письмового запиту  за підписом Голови Комітету на ім’я Голови Правління Банку через секретаря Комітету.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Заслуховувати звіти Правління Банку, посадових осіб Банку, незалежних консультантів з окремих питань діяльності Банку, що стосуються компетенції Комітету.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Брати участь у засіданнях Правління Банку.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Вимагати скликання позачергового засідання Ради відповідно до вимог Положення про Раду Банку.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Залучати внутрішніх та зовнішніх експертів (консультантів) до аналізу окремих питань Банку в порядку, визначеному актами внутрішнього регулювання Банку.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Запрошувати на свої засідання за потреби Голову та членів Правління Банку, інших посадових осіб Банку, керівника підрозділу внутрішнього аудиту, керівника підрозділу з управління ризиками та/або підрозділу контролю за дотриманням норм (комплаєнс) або осіб, що їх тимчасово заміщують, незалежних консультантів.</w:t>
      </w:r>
    </w:p>
    <w:p w:rsidR="00FD4874" w:rsidRPr="00765185" w:rsidRDefault="000D7CEC">
      <w:pPr>
        <w:numPr>
          <w:ilvl w:val="1"/>
          <w:numId w:val="45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Голова та члени Комітету зобов’язані: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Діяти в інтересах Банку, добросовісно, розумно та не перевищувати своїх повноважень. Обов’язок діяти добросовісно та розумно означає необхідність проявляти сумлінність, обачливість та належну обережність.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Керуватись у своїй діяльності законодавством України, Статутом Банку, Положенням про Раду Банку, цим Положенням, рішеннями Ради Банку, принципами (кодексом) корпоративного управління Банку.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Виконувати рішення, прийняті загальними зборами акціонерів та Радою Банку. 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Особисто брати участь у роботі Комітету. Завчасно повідомляти через секретаря Комітету про неможливість участі у засіданнях Комітету із зазначенням причин відсутності.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Дотримуватись встановлених у Банку правил та процедур щодо конфлікту інтересів. Негайно повідомляти Голову Комітету, Голову Ради про обставини, що перешкоджають виконанню ними своїх обов’язків. Завчасно розкривати інформацію про наявні або потенційні конфлікти інтересів.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Дотримуватись встановлених у Банку вимог до інформаційної безпеки. Не розголошувати інформацію з обмеженим доступом, в тому числі конфіденційну інформацію, яка стала відомою у зв’язку із виконанням функцій члена Комітету (далі – інформація з обмеженим доступом), особам, які не мають доступу до такої інформації, а також не використовувати її у своїх інтересах або в інтересах третіх осіб. Перелік інформації з обмеженим доступом визначається актами внутрішнього регулювання Банку та доводиться до відома членів Комітету відповідними структурними підрозділами Банку.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Своєчасно надавати Раді повну і точну інформацію з питань, що належать до компетенції Комітету.</w:t>
      </w:r>
    </w:p>
    <w:bookmarkEnd w:id="4"/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Погоджувати, надавати зауваження та коментарі щодо звітів підрозділу з управління ризиками та підрозділу контролю за дотриманням норм (комплаєнс) Банку про ризики Банку.</w:t>
      </w:r>
    </w:p>
    <w:p w:rsidR="00FD4874" w:rsidRPr="00765185" w:rsidRDefault="000D7CEC">
      <w:pPr>
        <w:numPr>
          <w:ilvl w:val="1"/>
          <w:numId w:val="45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Комітет зобов’язаний врахувати позицію підрозділу з управління ризиками Банку в разі якщо підрозділ проінформував Комітет про можливе підвищення ризику Банку у зв’язку з прийняттям відповідного рішення Комітету. Інформація про таке повідомлення вноситься до протоколу засідання Комітету.</w:t>
      </w:r>
    </w:p>
    <w:p w:rsidR="00FD4874" w:rsidRPr="00765185" w:rsidRDefault="000D7CEC">
      <w:pPr>
        <w:numPr>
          <w:ilvl w:val="1"/>
          <w:numId w:val="45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Комітет зобов’язаний на вимогу керівників підрозділу з управління ризиками та підрозділу контролю за дотриманням норм (комплаєнс) надати інформацію про місце та час проведення засідань Комітету та забезпечити можливість їх перебування на засіданні Комітету.</w:t>
      </w:r>
    </w:p>
    <w:p w:rsidR="00FD4874" w:rsidRPr="00765185" w:rsidRDefault="000D7CEC">
      <w:pPr>
        <w:numPr>
          <w:ilvl w:val="1"/>
          <w:numId w:val="45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Комітет, разом з Радою та Правлінням Банку, з метою дотримання працівниками Банку культури управління ризиками створюють необхідну атмосферу (tone at the top) шляхом: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визначення та дотримання корпоративних цінностей, а також здійснення нагляду за дотриманням таких цінностей;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забезпечення розуміння як керівниками Банку, так і іншими працівниками Банку їх ролі під час управління ризиками з метою досягнення цілей діяльності Банку, а також відповідальності за порушення встановленого рівня ризик-апетиту;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просування обізнаності щодо ризиків шляхом забезпечення систематичного інформування всіх підрозділів банку про стратегію, політику, процедури з управління ризиками та заохочення до вільного обміну інформацією і критичної оцінки прийняття ризиків Банком; 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отримання підтверджень, що працівники Банку, проінформовані про дисциплінарні санкції або інші дії, які застосовуватимуться до них у разі неприйнятної поведінки / порушення в діяльності Банку. </w:t>
      </w:r>
    </w:p>
    <w:p w:rsidR="00FD4874" w:rsidRPr="00765185" w:rsidRDefault="000D7CEC">
      <w:pPr>
        <w:numPr>
          <w:ilvl w:val="1"/>
          <w:numId w:val="45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Голова Комітету, в разі збільшення ризиків Банку, що Голова Комітету вважає значними, та необхідності прийняття рішень щодо вжиття необхідних попереджувальних заходів, зобов’язаний невідкладно, але не пізніше ніж на наступний робочий день з дня виявлення обставин, що призвели до збільшення ризиків Банку, що Голова Комітету вважає значними, ініціювати скликання позачергового засідання Ради. Зокрема, Голова Комітету має врахувати, інформацію подану керівником підрозділу з управління ризиками, або особою, що його тимчасово заміщує, щодо порушення встановленого ризик-апетиту та/або затверджених лімітів ризику, а також в інших випадках, установлених Радою Банку. Інформація про порушення має бути подана Комітету та Раді не пізніше наступного робочого дня з моменту виявлення порушення. Разом з повідомленням про скликання Ради, голова Комітету має, за можливості, доручити відповідним підрозділам чи Комітету підготувати покроковий план щодо усунення ризиків Банку.</w:t>
      </w:r>
    </w:p>
    <w:p w:rsidR="00FD4874" w:rsidRPr="00765185" w:rsidRDefault="000D7CEC">
      <w:pPr>
        <w:numPr>
          <w:ilvl w:val="1"/>
          <w:numId w:val="45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Комітет з метою дотримання працівниками Банку корпоративних цінностей здійснює контроль за дотриманням: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кодексу поведінки (етики);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політики запобігання конфліктам інтересів;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механізму конфіденційного повідомлення про неприйнятну поведінку в Банку / порушення в діяльності банку, який передбачає забезпечення захисту заявників (whistleblowing policy mechanism); </w:t>
      </w:r>
    </w:p>
    <w:p w:rsidR="00FD4874" w:rsidRPr="00765185" w:rsidRDefault="000D7CEC">
      <w:pPr>
        <w:numPr>
          <w:ilvl w:val="2"/>
          <w:numId w:val="45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порядку дослідження випадків неприйнятної поведінки в Банку / порушень у діяльності Банку.</w:t>
      </w:r>
    </w:p>
    <w:p w:rsidR="00FD4874" w:rsidRPr="00765185" w:rsidRDefault="00FD48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4874" w:rsidRPr="00765185" w:rsidRDefault="000D7CEC">
      <w:pPr>
        <w:pStyle w:val="1"/>
        <w:numPr>
          <w:ilvl w:val="0"/>
          <w:numId w:val="0"/>
        </w:numPr>
        <w:spacing w:after="0" w:line="360" w:lineRule="auto"/>
        <w:jc w:val="both"/>
      </w:pPr>
      <w:bookmarkStart w:id="5" w:name="_Toc533767291"/>
      <w:r w:rsidRPr="00765185">
        <w:t>Розділ V. ПОРЯДОК РОБОТИ КОМІТЕТУ</w:t>
      </w:r>
      <w:bookmarkEnd w:id="5"/>
    </w:p>
    <w:p w:rsidR="00FD4874" w:rsidRPr="00765185" w:rsidRDefault="000D7CEC">
      <w:pPr>
        <w:pStyle w:val="1"/>
        <w:numPr>
          <w:ilvl w:val="0"/>
          <w:numId w:val="0"/>
        </w:numPr>
        <w:spacing w:after="0" w:line="360" w:lineRule="auto"/>
        <w:jc w:val="both"/>
      </w:pPr>
      <w:r w:rsidRPr="00765185">
        <w:t xml:space="preserve"> 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Організаційною формою роботи Комітету є чергові або позачергові засідання. Засідання проводяться, як правило, за місцезнаходженням Банку або в іншому місці, вказаному у повідомлені про скликання засідання.  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Засідання Комітету може проводитися у формі:</w:t>
      </w:r>
    </w:p>
    <w:p w:rsidR="00FD4874" w:rsidRPr="009E4298" w:rsidRDefault="000D7CEC" w:rsidP="009E4298">
      <w:pPr>
        <w:pStyle w:val="a0"/>
        <w:numPr>
          <w:ilvl w:val="2"/>
          <w:numId w:val="46"/>
        </w:numPr>
        <w:suppressAutoHyphens/>
        <w:autoSpaceDE w:val="0"/>
        <w:spacing w:after="0" w:line="360" w:lineRule="auto"/>
        <w:ind w:left="1418" w:hanging="851"/>
        <w:jc w:val="both"/>
        <w:rPr>
          <w:rFonts w:ascii="Times New Roman" w:hAnsi="Times New Roman"/>
          <w:sz w:val="24"/>
          <w:szCs w:val="24"/>
          <w:lang w:val="uk-UA"/>
        </w:rPr>
      </w:pPr>
      <w:r w:rsidRPr="009E4298">
        <w:rPr>
          <w:rFonts w:ascii="Times New Roman" w:hAnsi="Times New Roman" w:cs="Times New Roman"/>
          <w:sz w:val="24"/>
          <w:szCs w:val="24"/>
          <w:lang w:val="uk-UA"/>
        </w:rPr>
        <w:t>спільної присутності членів Комітету у визначеному місці для обговорення питань порядку денного та голосування  (далі – у формі спільної присутності</w:t>
      </w:r>
      <w:r w:rsidR="004337C6" w:rsidRPr="009E4298">
        <w:rPr>
          <w:rFonts w:ascii="Times New Roman" w:hAnsi="Times New Roman"/>
          <w:sz w:val="24"/>
          <w:szCs w:val="24"/>
          <w:lang w:val="uk-UA"/>
        </w:rPr>
        <w:t>), в тому числі з використанням засобів електронного зв’язку (відео- та голосових конференцій тощо), за умови, що кожен член Комітету, який бере участь в такій конференції, може бачити/чути всіх учасників та спілкуватися зі всіма іншими учасниками засідання Комітету;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заочного голосування - методом опитування (далі – у формі заочного голосування)</w:t>
      </w:r>
    </w:p>
    <w:p w:rsidR="004337C6" w:rsidRPr="009E4298" w:rsidRDefault="004337C6" w:rsidP="009E4298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298">
        <w:rPr>
          <w:rFonts w:ascii="Times New Roman" w:hAnsi="Times New Roman" w:cs="Times New Roman"/>
          <w:sz w:val="24"/>
          <w:szCs w:val="24"/>
          <w:lang w:val="uk-UA"/>
        </w:rPr>
        <w:t>Проведення засідання Комітету з використанням засобів електронного зв’язку та  шляхом заочного голосування (методом опитування) допуска</w:t>
      </w:r>
      <w:r w:rsidR="006A6F7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9E4298">
        <w:rPr>
          <w:rFonts w:ascii="Times New Roman" w:hAnsi="Times New Roman" w:cs="Times New Roman"/>
          <w:sz w:val="24"/>
          <w:szCs w:val="24"/>
          <w:lang w:val="uk-UA"/>
        </w:rPr>
        <w:t>ться, якщо жоден з членів Комітету не заперечує проти цього.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Форма проведення засідання Комітету визначається головою Комітету та вказується у відповідному повідомленні про проведення засідання Комітету.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Чергові засідання Комітету проводяться за необхідністю, але не рідше одного разу на півроку.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Чергові засідання Комітету скликаються головою Комітету.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Позачергові засідання складу Комітету скликаються Головою Комітету у разі необхідності за власною ініціативою або на вимогу: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членів Комітету;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голови чи членів Ради, що не входять до складу Комітету 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голови чи членів Правління;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акціонерів, які в сукупності володіють не менш як 5 відсотків голосуючих акцій Банку;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НБУ;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керівника підрозділу з управління ризиками, або особи, що його тимчасово заміщує, щодо порушення встановленого ризик-апетиту та/або затверджених лімітів ризику;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керівника підрозділу з управління ризиками та/або підрозділу контролю за дотриманням норм (комплаєнс) або осіб, що їх тимчасово заміщують, щодо накладення вето на рішення Правління Банку чи комітетів Правління Банку, що стосуються компетенції Комітету; інших осіб, визначених статутом Банку чи іншими актами внутрішнього регулювання Банку, які беруть участь у засіданні Комітету.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Вимога про скликання позачергового засідання Комітету складається у письмовій та/або електронній формі, підписується  і подається на ім’я голови Комітету через секретаря Комітету.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Вимога про скликання позачергового засідання Комітету повинна містити: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прізвище, ім’я та по батькові, посаду особи, що її вносить;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підстави для скликання позачергового засідання Комітету;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формулювання порядку денного або питання, яке пропонується внести до порядку денного.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До вимоги про скликання позачергового засідання Комітету  додаються проекти рішень з питань порядку денного.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Позачергове засідання Комітету має бути скликане головою Комітету не пізніше, як через 5 (п’яти) робочих днів після отримання відповідної вимоги. 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матеріалів для розгляду чи затвердження Комітетом може бути ініційовано Головою або членами Комітету, головою або членами Ради Банку, членами Правління, керівниками структурних підрозділів Банку, секретарем Комітету . 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Порядок денний засідання Комітету формується секретарем Комітету на підставі матеріалів, що надійшли на розгляд Комітету, а також доручень голови Комітету, та затверджується головою Комітету.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скликання чергових або позачергових засідань Комітету кожний член Комітету повідомляється: про скликання чергових засідань – не пізніше як за 10 робочих днів, а про скликання позачергових засідань – не пізніше як за 3 робочі дні до дати проведення засідання шляхом надіслання повідомлення засобами електронної пошти, з дотриманням вимог щодо збереження інформації з обмеженим доступом або вручення повідомлення особисто під розпис.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Повідомлення має містити інформацію про дату, час, місце, форму проведення засідання та його порядок денний. До повідомлення додається інформаційний пакет, що включає:</w:t>
      </w:r>
    </w:p>
    <w:p w:rsidR="00FD4874" w:rsidRPr="00765185" w:rsidRDefault="000D7CEC">
      <w:pPr>
        <w:numPr>
          <w:ilvl w:val="2"/>
          <w:numId w:val="46"/>
        </w:numPr>
        <w:tabs>
          <w:tab w:val="left" w:pos="1418"/>
        </w:tabs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матеріали стосовно питань порядку денного, які необхідні членам Комітету для підготовки до засідання;</w:t>
      </w:r>
    </w:p>
    <w:p w:rsidR="00FD4874" w:rsidRPr="00765185" w:rsidRDefault="000D7CEC">
      <w:pPr>
        <w:numPr>
          <w:ilvl w:val="2"/>
          <w:numId w:val="46"/>
        </w:numPr>
        <w:tabs>
          <w:tab w:val="left" w:pos="1418"/>
        </w:tabs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проекти рішень з питань порядку денного.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Ініціатори скликання позачергового засідання Комітету, повідомляються про його проведення у порядку, передбаченому пп. 5.14. п.5 цього Положення, та мають право брати участь у такому засіданні.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 потреби на засідання Комітету можуть бути запрошені: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голова та члени Ради, що не входять до складу Комітету;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голова та члени Правління;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керівники самостійних структурних підрозділів Банку, зокрема, керівники підрозділу з управління ризиками та підрозділу контролю за дотриманням норм (комплаєнс);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співробітники Банку (внутрішні фахівці) з правом висловлення фахової позиції з питання, що обговорюється;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зовнішні експерти з правом висловлення експертної позиції з питання, що обговорюється.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Запрошені особи у голосуванні участі не приймають.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Комітету вважається правомочним, якщо в ньому беруть участь </w:t>
      </w:r>
      <w:r w:rsidR="004337C6" w:rsidRPr="004337C6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більше половини членів 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від кількісного складу Комітету, </w:t>
      </w:r>
      <w:r w:rsidR="004337C6" w:rsidRPr="00FD5FF4">
        <w:rPr>
          <w:rFonts w:ascii="Times New Roman" w:hAnsi="Times New Roman"/>
          <w:sz w:val="24"/>
          <w:szCs w:val="24"/>
          <w:lang w:val="uk-UA"/>
        </w:rPr>
        <w:t xml:space="preserve">встановленого цим Положенням, 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>один з яких має бути головою Комітету. Члени Комітету  беруть участь у засіданні тільки особисто, передача прав на участь у засіданні Комітету шляхом видачі довіреності чи іншим способом не допускається.</w:t>
      </w:r>
    </w:p>
    <w:p w:rsidR="00FD4874" w:rsidRPr="00765185" w:rsidRDefault="004337C6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CB36F9">
        <w:rPr>
          <w:rFonts w:ascii="Times New Roman" w:hAnsi="Times New Roman"/>
          <w:sz w:val="24"/>
          <w:szCs w:val="24"/>
          <w:lang w:val="uk-UA"/>
        </w:rPr>
        <w:t>На засіданні Комітету у формі спільної присутності, у тому числі з використанням засобів електронного зв’язку (відео- та голосових конференцій тощо)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D7CEC"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ішення Комітету приймаються простою більшістю голосів членів Комітету, які беруть </w:t>
      </w:r>
      <w:r w:rsidR="000D7CEC"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участь у засіданні </w:t>
      </w:r>
      <w:r w:rsidRPr="00CB36F9">
        <w:rPr>
          <w:rFonts w:ascii="Times New Roman" w:hAnsi="Times New Roman"/>
          <w:sz w:val="24"/>
          <w:szCs w:val="24"/>
          <w:lang w:val="uk-UA"/>
        </w:rPr>
        <w:t>та мають право голосу з відповідн</w:t>
      </w:r>
      <w:r w:rsidRPr="00227785">
        <w:rPr>
          <w:rFonts w:ascii="Times New Roman" w:hAnsi="Times New Roman"/>
          <w:sz w:val="24"/>
          <w:szCs w:val="24"/>
          <w:lang w:val="uk-UA"/>
        </w:rPr>
        <w:t xml:space="preserve">ого питання. </w:t>
      </w:r>
      <w:r w:rsidR="000D7CEC"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Кожний член Комітету при голосуванні володіє одним голосом. При рівній кількості голосів «за» і «проти» приймається рішення, за яке проголосував  Голова Комітету. 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Під час засідання Комітету у формі спільної присутності</w:t>
      </w:r>
      <w:r w:rsidR="000F7C95" w:rsidRPr="00FD5FF4">
        <w:rPr>
          <w:rFonts w:ascii="Times New Roman" w:hAnsi="Times New Roman"/>
          <w:sz w:val="24"/>
          <w:szCs w:val="24"/>
          <w:lang w:val="uk-UA"/>
        </w:rPr>
        <w:t xml:space="preserve">, у тому числі з використанням засобів електронного зв’язку (відео- та голосових конференцій тощо),  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секретар Комітету веде протокол.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У протоколі засідання Комітету у формі спільної присутності</w:t>
      </w:r>
      <w:r w:rsidR="008D7A1B" w:rsidRPr="00FD5FF4">
        <w:rPr>
          <w:rFonts w:ascii="Times New Roman" w:hAnsi="Times New Roman"/>
          <w:sz w:val="24"/>
          <w:szCs w:val="24"/>
          <w:lang w:val="uk-UA"/>
        </w:rPr>
        <w:t>, у тому числі з використанням засобів електронного зв’язку (відео- та голосових конференцій тощо),</w:t>
      </w:r>
      <w:r w:rsidR="00B951DC">
        <w:rPr>
          <w:rFonts w:ascii="Times New Roman" w:hAnsi="Times New Roman"/>
          <w:sz w:val="24"/>
          <w:szCs w:val="24"/>
          <w:lang w:val="uk-UA"/>
        </w:rPr>
        <w:t xml:space="preserve"> зазначаються</w:t>
      </w:r>
      <w:r w:rsidR="008D7A1B" w:rsidRPr="00FD5FF4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повне найменування Банку;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дата, місце та час проведення засідання Комітету 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номер протоколу;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особи, які були присутні на засіданні</w:t>
      </w:r>
      <w:r w:rsidR="008D7A1B" w:rsidRPr="00CB36F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951DC">
        <w:rPr>
          <w:rFonts w:ascii="Times New Roman" w:hAnsi="Times New Roman"/>
          <w:sz w:val="24"/>
          <w:szCs w:val="24"/>
          <w:lang w:val="uk-UA"/>
        </w:rPr>
        <w:t>у</w:t>
      </w:r>
      <w:r w:rsidR="008D7A1B" w:rsidRPr="00CB36F9">
        <w:rPr>
          <w:rFonts w:ascii="Times New Roman" w:hAnsi="Times New Roman"/>
          <w:sz w:val="24"/>
          <w:szCs w:val="24"/>
          <w:lang w:val="uk-UA"/>
        </w:rPr>
        <w:t xml:space="preserve"> тому числі брали участь з використанням засобів електронного зв’язку (відео- та голосових конференцій тощо)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головуючий та секретар засідання;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наявність кворуму;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порядок денний;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основні положення виступів;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основні положення обговорень по кожному питанню;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надані членами Комітету рекомендації;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питання, винесені на голосування, та підсумки голосування із зазначенням прізвищ членів Комітету , які голосували «за», «проти» (або утримались від голосування) з кожного питання;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зміст прийнятих рішень.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Протокол засідання Комітету у формі спільної</w:t>
      </w:r>
      <w:r w:rsidR="00B951DC">
        <w:rPr>
          <w:rFonts w:ascii="Times New Roman" w:hAnsi="Times New Roman" w:cs="Times New Roman"/>
          <w:sz w:val="24"/>
          <w:szCs w:val="24"/>
          <w:lang w:val="uk-UA"/>
        </w:rPr>
        <w:t xml:space="preserve"> присутності</w:t>
      </w:r>
      <w:r w:rsidR="008D7A1B" w:rsidRPr="00FD5FF4">
        <w:rPr>
          <w:rFonts w:ascii="Times New Roman" w:hAnsi="Times New Roman"/>
          <w:sz w:val="24"/>
          <w:szCs w:val="24"/>
          <w:lang w:val="uk-UA"/>
        </w:rPr>
        <w:t>, у тому числі з використанням засобів електронного зв’язку (відео- та голосових конференцій тощо)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підписується головуючим на засіданні, секретарем та усіма членами Комітету, які брали участь у засіданні. </w:t>
      </w:r>
    </w:p>
    <w:p w:rsidR="008D7A1B" w:rsidRPr="009E4298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Протокол засідання Комітету у формі спільної</w:t>
      </w:r>
      <w:r w:rsidR="00B951DC">
        <w:rPr>
          <w:rFonts w:ascii="Times New Roman" w:hAnsi="Times New Roman" w:cs="Times New Roman"/>
          <w:sz w:val="24"/>
          <w:szCs w:val="24"/>
          <w:lang w:val="uk-UA"/>
        </w:rPr>
        <w:t xml:space="preserve"> присутності</w:t>
      </w:r>
      <w:r w:rsidR="008D7A1B" w:rsidRPr="00FD5FF4">
        <w:rPr>
          <w:rFonts w:ascii="Times New Roman" w:hAnsi="Times New Roman"/>
          <w:sz w:val="24"/>
          <w:szCs w:val="24"/>
          <w:lang w:val="uk-UA"/>
        </w:rPr>
        <w:t>, у тому числі з використанням засобів електронного зв’язку (відео- та голосових конференцій тощо)</w:t>
      </w:r>
      <w:r w:rsidR="008D7A1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має бути остаточно оформлений у строк не більше п’яти </w:t>
      </w:r>
      <w:r w:rsidR="008D7A1B" w:rsidRPr="00FD5FF4">
        <w:rPr>
          <w:rFonts w:ascii="Times New Roman" w:hAnsi="Times New Roman"/>
          <w:sz w:val="24"/>
          <w:szCs w:val="24"/>
          <w:lang w:val="uk-UA"/>
        </w:rPr>
        <w:t>робочих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днів з дати проведення засідання</w:t>
      </w:r>
      <w:r w:rsidR="008D7A1B" w:rsidRPr="008D7A1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7A1B" w:rsidRPr="00FD5FF4">
        <w:rPr>
          <w:rFonts w:ascii="Times New Roman" w:hAnsi="Times New Roman"/>
          <w:sz w:val="24"/>
          <w:szCs w:val="24"/>
          <w:lang w:val="uk-UA"/>
        </w:rPr>
        <w:t xml:space="preserve">та надісланий засобами електронної пошти або вручений </w:t>
      </w:r>
      <w:r w:rsidR="008D7A1B" w:rsidRPr="00FD5FF4">
        <w:rPr>
          <w:rFonts w:ascii="Times New Roman" w:hAnsi="Times New Roman"/>
          <w:sz w:val="24"/>
          <w:szCs w:val="24"/>
          <w:lang w:val="uk-UA"/>
        </w:rPr>
        <w:lastRenderedPageBreak/>
        <w:t xml:space="preserve">особисто всім членам Комітету, які взяли участь у засіданні, для висловлення позиції щодо наявності/відсутності зауважень. </w:t>
      </w:r>
      <w:r w:rsidR="008D7A1B" w:rsidRPr="00765185" w:rsidDel="008D7A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7A1B" w:rsidRPr="00FD5FF4" w:rsidRDefault="008D7A1B" w:rsidP="008D7A1B">
      <w:pPr>
        <w:numPr>
          <w:ilvl w:val="1"/>
          <w:numId w:val="46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B36F9">
        <w:rPr>
          <w:rFonts w:ascii="Times New Roman" w:hAnsi="Times New Roman"/>
          <w:sz w:val="24"/>
          <w:szCs w:val="24"/>
          <w:lang w:val="uk-UA"/>
        </w:rPr>
        <w:t>Члени Комітету, які брали участь у засіданні Комітету шляхом спільної присутності, в тому числі з використанням засобів електронного зв’язку (відео - та голосових конференцій тощо), можуть протягом 3 (трьох) робочих днів після надсилання/вруч</w:t>
      </w:r>
      <w:r w:rsidRPr="00227785">
        <w:rPr>
          <w:rFonts w:ascii="Times New Roman" w:hAnsi="Times New Roman"/>
          <w:sz w:val="24"/>
          <w:szCs w:val="24"/>
          <w:lang w:val="uk-UA"/>
        </w:rPr>
        <w:t>ення їм протоколу висловити свої зауваження до протоколу у письмовій формі і надіслати головуючому на засіданні та/або секретарю</w:t>
      </w:r>
      <w:r w:rsidRPr="004961FF">
        <w:rPr>
          <w:rFonts w:ascii="Times New Roman" w:hAnsi="Times New Roman"/>
          <w:sz w:val="24"/>
          <w:szCs w:val="24"/>
          <w:lang w:val="uk-UA"/>
        </w:rPr>
        <w:t xml:space="preserve"> Комітету.</w:t>
      </w:r>
      <w:r w:rsidRPr="00FD5FF4">
        <w:rPr>
          <w:rFonts w:ascii="Times New Roman" w:hAnsi="Times New Roman"/>
          <w:sz w:val="24"/>
          <w:szCs w:val="24"/>
          <w:lang w:val="uk-UA"/>
        </w:rPr>
        <w:t xml:space="preserve"> Якщо член Комітету не надав свої зауваження до протоколу засідання у вказаний строк, вважається, що він не має зауважень до протоколу.</w:t>
      </w:r>
    </w:p>
    <w:p w:rsidR="008D7A1B" w:rsidRPr="00FD5FF4" w:rsidRDefault="008D7A1B" w:rsidP="008D7A1B">
      <w:pPr>
        <w:numPr>
          <w:ilvl w:val="1"/>
          <w:numId w:val="46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D5FF4">
        <w:rPr>
          <w:rFonts w:ascii="Times New Roman" w:hAnsi="Times New Roman"/>
          <w:sz w:val="24"/>
          <w:szCs w:val="24"/>
          <w:lang w:val="uk-UA"/>
        </w:rPr>
        <w:t>Після закінчення строку для надання зауважень, протокол засідання Комітету підписується головуючим на засіданні, секретарем та усіма членами Комітету, які брали участь у засіданні.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У разі проведення засідання Комітету у формі заочного голосування, члени Комітету зобов’язані протягом установленого в повідомленні строку надати заповнені бюлетені для голосування безпосередньо до секретаря Комітету шляхом надіслання рекомендованого листа, особисто, або у випадку неможливості протягом встановленого строку надати оригінал заповненого бюлетеня для голосування вказаними способами - надіслання скан-копії бюлетеня для голосування засобами електронного зв’язку із наступним наданням оригіналу бюлетеня для голосування секретарю Комітету.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 дати отримання повідомлення членами Комітету і до закінчення установленого в повідомленні строку надання заповнених бюлетенів для голосування члени Комітету мають право здійснювати обговорення питань порядку денного з використанням засобів електронного зв’язку (відео, голосових конференцій тощо), за допомогою яких всі члени Комітету можуть у режимі реального часу бачити та/або чути один одного або шляхом обміну листами, повідомленнями через засоби електронної пошти тощо.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Рішення Комітету у разі проведення засідання Комітету у формі заочного голосування приймаються простою більшістю голосів членів Комітету (більше 50 відсотків голосів) від кількісного складу Комітету.  При рівній кількості голосів «за» і «проти» приймається рішення, за яке проголосував Голова Комітету 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За підсумками заочного голосування секретар Комітету оформлює протокол.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У протоколі заочного засідання Комітету зазначаються: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повне найменування Банку;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дата та місце підбиття підсумків заочного голосування Комітету 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номер протоколу;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строк приймання заповнених бюлетенів;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кількість отриманих бюлетенів (кворум);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питання, винесені на заочне голосування;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надані членами Комітету рекомендації;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підсумки голосування із зазначенням прізвищ членів Комітету , які голосували «за», «проти» (або утримались від голосування) з кожного питання;</w:t>
      </w:r>
    </w:p>
    <w:p w:rsidR="00FD4874" w:rsidRPr="00765185" w:rsidRDefault="000D7CEC">
      <w:pPr>
        <w:numPr>
          <w:ilvl w:val="2"/>
          <w:numId w:val="46"/>
        </w:numPr>
        <w:autoSpaceDE w:val="0"/>
        <w:autoSpaceDN w:val="0"/>
        <w:spacing w:after="0" w:line="360" w:lineRule="auto"/>
        <w:ind w:left="1418" w:hanging="851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зміст прийнятих рішень.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Протокол заочного голосування підписується головуючим на засіданні та секретарем Комітету . 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Бюлетені членів Комітету додаються секретарем Комітету до протоколу і є його невід’ємною частиною.</w:t>
      </w:r>
    </w:p>
    <w:p w:rsidR="008D7A1B" w:rsidRPr="006A6F78" w:rsidRDefault="000D7CEC" w:rsidP="009E4298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A1B">
        <w:rPr>
          <w:rFonts w:ascii="Times New Roman" w:hAnsi="Times New Roman" w:cs="Times New Roman"/>
          <w:sz w:val="24"/>
          <w:szCs w:val="24"/>
          <w:lang w:val="uk-UA"/>
        </w:rPr>
        <w:t xml:space="preserve">Протокол засідання Комітету у формі заочного голосування </w:t>
      </w:r>
      <w:r w:rsidR="008D7A1B" w:rsidRPr="00814751">
        <w:rPr>
          <w:rFonts w:ascii="Times New Roman" w:hAnsi="Times New Roman" w:cs="Times New Roman"/>
          <w:sz w:val="24"/>
          <w:szCs w:val="24"/>
          <w:lang w:val="uk-UA"/>
        </w:rPr>
        <w:t>має бути остаточно оформлений протягом п’яти робочих днів з дати закінчення строку приймання бюлетенів</w:t>
      </w:r>
      <w:r w:rsidR="008D7A1B" w:rsidRPr="006A6F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14751" w:rsidRPr="009E4298" w:rsidRDefault="00814751" w:rsidP="009E4298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F78">
        <w:rPr>
          <w:rFonts w:ascii="Times New Roman" w:hAnsi="Times New Roman" w:cs="Times New Roman"/>
          <w:sz w:val="24"/>
          <w:szCs w:val="24"/>
          <w:lang w:val="uk-UA"/>
        </w:rPr>
        <w:t xml:space="preserve">Бюлетені членів Комітету додаються секретарем Комітету </w:t>
      </w:r>
      <w:r w:rsidRPr="00B951DC">
        <w:rPr>
          <w:rFonts w:ascii="Times New Roman" w:hAnsi="Times New Roman" w:cs="Times New Roman"/>
          <w:sz w:val="24"/>
          <w:szCs w:val="24"/>
          <w:lang w:val="uk-UA"/>
        </w:rPr>
        <w:t>до протоколу і стають його невід’ємною частиною.</w:t>
      </w:r>
    </w:p>
    <w:p w:rsidR="00FD4874" w:rsidRPr="008D7A1B" w:rsidRDefault="000D7CEC" w:rsidP="008D7A1B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8D7A1B">
        <w:rPr>
          <w:rFonts w:ascii="Times New Roman" w:hAnsi="Times New Roman" w:cs="Times New Roman"/>
          <w:sz w:val="24"/>
          <w:szCs w:val="24"/>
          <w:lang w:val="uk-UA"/>
        </w:rPr>
        <w:t>Засідання Комітету або розгляд окремого питання за його рішенням може фіксуватися технічними засобами.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Голова та секретар Комітету несуть відповідальність за достовірність відомостей, внесених до протоколу.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Член Комітету, який не згоден з рішенням, що прийняте на засіданні та проголосував «проти» такого рішення може протягом 2-х робочих днів з дати проведення засідання викласти у письмовій формі і через секретаря Комітету надати свої зауваження Голові Комітету. Зауваження членів Комітету додаються до протоколу і є його невід’ємною частиною.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На вимогу члена Комітету секретар Комітету повинен надати протокол засідання, що запитується, та додаткові матеріали щодо даного засідання протягом 2-х робочих днів з дня отримання запиту (за умови виготовлення і підписання протоколу на дату отримання запиту), шляхом вручення особисто та під розпис або шляхом надсилання по пошті рекомендованим листом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Рішення, прийняті Комітетом, носять рекомендаційний характер для Ради.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>Рішення Комітету доводяться до зацікавлених осіб у вигляді витягів з протоколу окремо з кожного питання. Витяги з протоколу, що включають зауваження членів Комітету, засідання Комітету оформлюються секретарем Комітету і надаються протягом 2-х робочих днів з дати підписання протоколу засідання Комітету кожному виконавцю особисто під розпис або направляються засобами електронного документообігу, що використовуються у Банку.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рішень, прийнятих Комітетом, здійснює Голова Комітету і, за його дорученням, секретар Комітету 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Ведення та зберігання протоколів засідання Комітету забезпечується Головою Комітету. Протоколи засідань Комітету зберігаються за місцезнаходженням Банку у секретаря Комітету протягом всього строку діяльності Банку і надаються для ознайомлення акціонерам та посадовим особам органів управління та контролю Банку у порядку, передбаченому актами внутрішнього регулювання Банку. 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Реєстрація протоколів здійснюється в електронному журналі реєстрації протоколів Комітету, який ведеться з дотриманням форми, визначеної  Інструкцією з діловодства Банку та зберігається на відповідному ресурсі Банку з обмеженим доступом. Реєстрація протоколів ведеться в межах календарного року, кожне засідання Комітету оформлюється окремим протоколом. Кожному рішенню по кожному питанню порядку денного засідання присвоюється порядковий номер в межах засідання.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Журнал реєстрації друкується за результатами року, засвідчується підписом секретаря Комітету та підшивається до протоколів засідань Комітету.</w:t>
      </w:r>
    </w:p>
    <w:p w:rsidR="00FD4874" w:rsidRPr="00765185" w:rsidRDefault="000D7CEC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Працівники Банку, які мають доступ до протоколів та документів Комітету, несуть відповідальність за розголошення інформації з обмеженим доступом. Перелік інформації з обмеженим доступом визначається актами внутрішнього регулювання Банку.</w:t>
      </w:r>
    </w:p>
    <w:p w:rsidR="00FD4874" w:rsidRPr="00765185" w:rsidRDefault="000D7CEC" w:rsidP="00765185">
      <w:pPr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Керівники підрозділу з управління ризиками та підрозділу контролю за дотриманням норм (комплаєнс) мають право вето щодо рішень Правління Банку чи його комітетів. Керівники підрозділу з управління ризиками та підрозділу контролю за дотриманням норм (комплаєнс) невідкладно, але не пізніше наступного робочого дня з дня   накладення вето, інформують Комітет</w:t>
      </w:r>
      <w:r w:rsidR="005B645F"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про випадок накладання заборони (вето) на рішення Правління або його комітетів із зазначенням обгрунтування застосування такого права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. Комітет першочергово реагує на </w:t>
      </w:r>
      <w:r w:rsidR="009F3B6D"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щодо застосування права 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вето шляхом розгляду </w:t>
      </w:r>
      <w:r w:rsidR="009F3B6D"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зазначеного питання  на позачерговому 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>засіданні</w:t>
      </w:r>
      <w:r w:rsidR="009F3B6D"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для </w:t>
      </w:r>
      <w:r w:rsidR="009F3B6D" w:rsidRPr="0076518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прийняття ним відповідних рішень.  У разі прийняття Комітетом рішення щодо доцільності розгляду </w:t>
      </w:r>
      <w:r w:rsidRPr="00765185">
        <w:rPr>
          <w:rFonts w:ascii="Times New Roman" w:hAnsi="Times New Roman" w:cs="Times New Roman"/>
          <w:sz w:val="24"/>
          <w:szCs w:val="24"/>
          <w:lang w:val="uk-UA"/>
        </w:rPr>
        <w:t xml:space="preserve">(ескалації) випадку застосування права вето Радою, Комітет ініціює  скликання позачергового засідання Ради для його розгляду та готує рекомендації щодо рішення Ради стосовно нього. </w:t>
      </w:r>
    </w:p>
    <w:p w:rsidR="000D7CEC" w:rsidRPr="00765185" w:rsidRDefault="000D7CEC">
      <w:pPr>
        <w:pStyle w:val="1"/>
        <w:numPr>
          <w:ilvl w:val="0"/>
          <w:numId w:val="0"/>
        </w:numPr>
        <w:spacing w:after="0" w:line="360" w:lineRule="auto"/>
        <w:jc w:val="both"/>
      </w:pPr>
      <w:bookmarkStart w:id="6" w:name="_Toc533767292"/>
    </w:p>
    <w:p w:rsidR="00FD4874" w:rsidRPr="00765185" w:rsidRDefault="000D7CEC">
      <w:pPr>
        <w:pStyle w:val="1"/>
        <w:numPr>
          <w:ilvl w:val="0"/>
          <w:numId w:val="0"/>
        </w:numPr>
        <w:spacing w:after="0" w:line="360" w:lineRule="auto"/>
        <w:jc w:val="both"/>
      </w:pPr>
      <w:r w:rsidRPr="00765185">
        <w:t xml:space="preserve">Розділ VI. ВІДПОВІДАЛЬНІСТЬ ГОЛОВИ ТА ЧЛЕНІВ КОМІТЕТУ </w:t>
      </w:r>
    </w:p>
    <w:p w:rsidR="00FD4874" w:rsidRPr="00765185" w:rsidRDefault="00FD4874">
      <w:pPr>
        <w:rPr>
          <w:lang w:val="uk-UA"/>
        </w:rPr>
      </w:pPr>
    </w:p>
    <w:bookmarkEnd w:id="6"/>
    <w:p w:rsidR="00FD4874" w:rsidRPr="00765185" w:rsidRDefault="000D7CEC">
      <w:pPr>
        <w:numPr>
          <w:ilvl w:val="1"/>
          <w:numId w:val="47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Голова Комітету несе відповідальність перед Радою за діяльність та контроль виконання рішень Комітету. На вимогу Ради голова Комітету зобов’язаний надати звіт про діяльність Комітету.</w:t>
      </w:r>
    </w:p>
    <w:p w:rsidR="00FD4874" w:rsidRPr="00765185" w:rsidRDefault="000D7CEC">
      <w:pPr>
        <w:numPr>
          <w:ilvl w:val="1"/>
          <w:numId w:val="47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Члени Комітету несуть відповідальність за діяльність Банку в межах своїх повноважень.</w:t>
      </w:r>
    </w:p>
    <w:p w:rsidR="00FD4874" w:rsidRPr="00765185" w:rsidRDefault="000D7CEC">
      <w:pPr>
        <w:numPr>
          <w:ilvl w:val="1"/>
          <w:numId w:val="47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Члени Комітету повинні зберігати інформацію з обмеженим доступом, що стала їм відома у зв’язку з членством в Комітеті, і несуть за її розголошення відповідальність, передбачену чинним законодавством України.</w:t>
      </w:r>
    </w:p>
    <w:p w:rsidR="00FD4874" w:rsidRPr="00765185" w:rsidRDefault="00FD4874">
      <w:pPr>
        <w:pStyle w:val="af5"/>
        <w:spacing w:before="0" w:beforeAutospacing="0" w:after="0" w:afterAutospacing="0" w:line="360" w:lineRule="auto"/>
        <w:jc w:val="both"/>
        <w:rPr>
          <w:lang w:val="uk-UA"/>
        </w:rPr>
      </w:pPr>
    </w:p>
    <w:p w:rsidR="00FD4874" w:rsidRPr="00765185" w:rsidRDefault="000D7CEC">
      <w:pPr>
        <w:pStyle w:val="1"/>
        <w:numPr>
          <w:ilvl w:val="0"/>
          <w:numId w:val="0"/>
        </w:numPr>
        <w:spacing w:after="0" w:line="360" w:lineRule="auto"/>
        <w:jc w:val="both"/>
      </w:pPr>
      <w:bookmarkStart w:id="7" w:name="_Toc533767293"/>
      <w:r w:rsidRPr="00765185">
        <w:t xml:space="preserve">Розділ VII. ЗАКЛЮЧНІ ПОЛОЖЕННЯ </w:t>
      </w:r>
    </w:p>
    <w:p w:rsidR="00FD4874" w:rsidRPr="00765185" w:rsidRDefault="000D7CEC">
      <w:pPr>
        <w:pStyle w:val="1"/>
        <w:numPr>
          <w:ilvl w:val="0"/>
          <w:numId w:val="0"/>
        </w:numPr>
        <w:spacing w:after="0" w:line="360" w:lineRule="auto"/>
        <w:jc w:val="both"/>
      </w:pPr>
      <w:r w:rsidRPr="00765185">
        <w:t xml:space="preserve"> </w:t>
      </w:r>
    </w:p>
    <w:bookmarkEnd w:id="7"/>
    <w:p w:rsidR="00FD4874" w:rsidRPr="00765185" w:rsidRDefault="000D7CEC">
      <w:pPr>
        <w:numPr>
          <w:ilvl w:val="1"/>
          <w:numId w:val="48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Положення набирає чинності з дати його затвердження Радою Банку.</w:t>
      </w:r>
    </w:p>
    <w:p w:rsidR="00FD4874" w:rsidRPr="00765185" w:rsidRDefault="000D7CEC">
      <w:pPr>
        <w:numPr>
          <w:ilvl w:val="1"/>
          <w:numId w:val="48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Зміни до цього Положення затверджуються Радою Банку.</w:t>
      </w:r>
    </w:p>
    <w:p w:rsidR="00FD4874" w:rsidRPr="00765185" w:rsidRDefault="000D7CEC">
      <w:pPr>
        <w:numPr>
          <w:ilvl w:val="1"/>
          <w:numId w:val="48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jc w:val="both"/>
        <w:rPr>
          <w:lang w:val="uk-UA"/>
        </w:rPr>
      </w:pPr>
      <w:r w:rsidRPr="00765185">
        <w:rPr>
          <w:rFonts w:ascii="Times New Roman" w:hAnsi="Times New Roman" w:cs="Times New Roman"/>
          <w:sz w:val="24"/>
          <w:szCs w:val="24"/>
          <w:lang w:val="uk-UA"/>
        </w:rPr>
        <w:t>У разі невідповідності будь-якої частини цього Положення законодавству України або нормативно-правовим актам НБУ, у тому числі у зв’язку з прийняттям нових актів законодавства України або нормативних актів НБУ, це Положення буде діяти лише у тій частині, яка не суперечитиме законодавству України та нормативним актам НБУ.</w:t>
      </w:r>
    </w:p>
    <w:sectPr w:rsidR="00FD4874" w:rsidRPr="007651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701" w:header="70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74" w:rsidRDefault="000D7CEC">
      <w:pPr>
        <w:spacing w:after="0" w:line="240" w:lineRule="auto"/>
      </w:pPr>
      <w:r>
        <w:separator/>
      </w:r>
    </w:p>
  </w:endnote>
  <w:endnote w:type="continuationSeparator" w:id="0">
    <w:p w:rsidR="00FD4874" w:rsidRDefault="000D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74" w:rsidRDefault="00FD4874">
    <w:pPr>
      <w:pStyle w:val="a7"/>
      <w:rPr>
        <w:rFonts w:ascii="Times New Roman" w:hAnsi="Times New Roman" w:cs="Times New Roman"/>
        <w:sz w:val="24"/>
        <w:szCs w:val="24"/>
      </w:rPr>
    </w:pPr>
  </w:p>
  <w:p w:rsidR="00FD4874" w:rsidRDefault="000D7CEC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Положення про комітет з управління ризиками Наглядової ради ПУБЛІЧНОГО АКЦІОНЕРНОГО ТОВАРИСТВА АКЦІОНЕРНОГО БАНКУ «УКРГАЗБАНК»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74" w:rsidRDefault="00FD48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74" w:rsidRDefault="000D7CEC">
      <w:pPr>
        <w:spacing w:after="0" w:line="240" w:lineRule="auto"/>
      </w:pPr>
      <w:r>
        <w:separator/>
      </w:r>
    </w:p>
  </w:footnote>
  <w:footnote w:type="continuationSeparator" w:id="0">
    <w:p w:rsidR="00FD4874" w:rsidRDefault="000D7CEC">
      <w:pPr>
        <w:spacing w:after="0" w:line="240" w:lineRule="auto"/>
      </w:pPr>
      <w:r>
        <w:continuationSeparator/>
      </w:r>
    </w:p>
  </w:footnote>
  <w:footnote w:id="1">
    <w:p w:rsidR="00FD4874" w:rsidRDefault="000D7CEC">
      <w:pPr>
        <w:pStyle w:val="ab"/>
        <w:ind w:left="567" w:hanging="567"/>
        <w:rPr>
          <w:rFonts w:ascii="Times New Roman" w:hAnsi="Times New Roman" w:cs="Times New Roman"/>
          <w:lang w:val="uk-UA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uk-UA"/>
        </w:rPr>
        <w:tab/>
        <w:t xml:space="preserve">Принципи опубліковані у мережі Інтернет за посиланням </w:t>
      </w:r>
      <w:r>
        <w:rPr>
          <w:rStyle w:val="aa"/>
          <w:rFonts w:ascii="Times New Roman" w:hAnsi="Times New Roman" w:cs="Times New Roman"/>
          <w:lang w:val="uk-UA"/>
        </w:rPr>
        <w:t>https://www.bis.org/bcbs/publ/d328.htm</w:t>
      </w:r>
      <w:r>
        <w:rPr>
          <w:rFonts w:ascii="Times New Roman" w:hAnsi="Times New Roman" w:cs="Times New Roman"/>
          <w:lang w:val="uk-UA"/>
        </w:rPr>
        <w:t xml:space="preserve"> </w:t>
      </w:r>
    </w:p>
  </w:footnote>
  <w:footnote w:id="2">
    <w:p w:rsidR="00FD4874" w:rsidRDefault="000D7CEC">
      <w:pPr>
        <w:pStyle w:val="ab"/>
        <w:ind w:left="567" w:hanging="567"/>
        <w:rPr>
          <w:rFonts w:ascii="Times New Roman" w:hAnsi="Times New Roman" w:cs="Times New Roman"/>
          <w:lang w:val="uk-UA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  <w:t>Рекомендації опубліковані у мережі Інтернет за посиланням https://eba.europa.eu/regulation-and-policy/internal-governance/guidelines-on-internal-governance-revised-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320505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4874" w:rsidRDefault="000D7CEC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24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74" w:rsidRDefault="00FD4874">
    <w:pPr>
      <w:pStyle w:val="a5"/>
    </w:pPr>
  </w:p>
  <w:p w:rsidR="00FD4874" w:rsidRDefault="00FD48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  <w:szCs w:val="24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3092771"/>
    <w:multiLevelType w:val="multilevel"/>
    <w:tmpl w:val="DAC8EBD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6"/>
      <w:isLgl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7"/>
      <w:isLgl/>
      <w:lvlText w:val="%1.%2.%3."/>
      <w:lvlJc w:val="left"/>
      <w:pPr>
        <w:ind w:left="2847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7C1B61"/>
    <w:multiLevelType w:val="hybridMultilevel"/>
    <w:tmpl w:val="C254BDC6"/>
    <w:lvl w:ilvl="0" w:tplc="FFD2D6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2F4F1A"/>
    <w:multiLevelType w:val="hybridMultilevel"/>
    <w:tmpl w:val="6B02AB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35627"/>
    <w:multiLevelType w:val="multilevel"/>
    <w:tmpl w:val="C5B8C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E87052"/>
    <w:multiLevelType w:val="multilevel"/>
    <w:tmpl w:val="6074D2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08034A"/>
    <w:multiLevelType w:val="hybridMultilevel"/>
    <w:tmpl w:val="2C5AFE78"/>
    <w:lvl w:ilvl="0" w:tplc="E90E5CB6">
      <w:start w:val="1"/>
      <w:numFmt w:val="lowerRoman"/>
      <w:pStyle w:val="5"/>
      <w:lvlText w:val="%1."/>
      <w:lvlJc w:val="left"/>
      <w:pPr>
        <w:ind w:left="242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A2B4E5B"/>
    <w:multiLevelType w:val="multilevel"/>
    <w:tmpl w:val="C31464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F1540E"/>
    <w:multiLevelType w:val="multilevel"/>
    <w:tmpl w:val="9D82F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27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41813642"/>
    <w:multiLevelType w:val="multilevel"/>
    <w:tmpl w:val="9F5AA7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444255"/>
    <w:multiLevelType w:val="hybridMultilevel"/>
    <w:tmpl w:val="D3E24468"/>
    <w:lvl w:ilvl="0" w:tplc="32F666FA">
      <w:start w:val="1"/>
      <w:numFmt w:val="lowerLetter"/>
      <w:pStyle w:val="3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1B7E97"/>
    <w:multiLevelType w:val="multilevel"/>
    <w:tmpl w:val="C2500F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314D0C"/>
    <w:multiLevelType w:val="hybridMultilevel"/>
    <w:tmpl w:val="38D0FE3C"/>
    <w:lvl w:ilvl="0" w:tplc="0C88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8439F"/>
    <w:multiLevelType w:val="multilevel"/>
    <w:tmpl w:val="BDC6F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6246B4"/>
    <w:multiLevelType w:val="multilevel"/>
    <w:tmpl w:val="DFFA0D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8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4"/>
  </w:num>
  <w:num w:numId="38">
    <w:abstractNumId w:val="12"/>
  </w:num>
  <w:num w:numId="39">
    <w:abstractNumId w:val="5"/>
  </w:num>
  <w:num w:numId="4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"/>
  </w:num>
  <w:num w:numId="43">
    <w:abstractNumId w:val="4"/>
  </w:num>
  <w:num w:numId="44">
    <w:abstractNumId w:val="1"/>
  </w:num>
  <w:num w:numId="45">
    <w:abstractNumId w:val="7"/>
  </w:num>
  <w:num w:numId="46">
    <w:abstractNumId w:val="9"/>
  </w:num>
  <w:num w:numId="47">
    <w:abstractNumId w:val="13"/>
  </w:num>
  <w:num w:numId="48">
    <w:abstractNumId w:val="11"/>
  </w:num>
  <w:num w:numId="49">
    <w:abstractNumId w:val="3"/>
  </w:num>
  <w:num w:numId="50">
    <w:abstractNumId w:val="2"/>
  </w:num>
  <w:num w:numId="5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74"/>
    <w:rsid w:val="0002027E"/>
    <w:rsid w:val="000D7CEC"/>
    <w:rsid w:val="000F7C95"/>
    <w:rsid w:val="00182709"/>
    <w:rsid w:val="003C0110"/>
    <w:rsid w:val="004270D3"/>
    <w:rsid w:val="004337C6"/>
    <w:rsid w:val="00552C3E"/>
    <w:rsid w:val="005B645F"/>
    <w:rsid w:val="006A6F78"/>
    <w:rsid w:val="00765185"/>
    <w:rsid w:val="007B12E3"/>
    <w:rsid w:val="00814751"/>
    <w:rsid w:val="008D7A1B"/>
    <w:rsid w:val="00984020"/>
    <w:rsid w:val="009C4826"/>
    <w:rsid w:val="009E4298"/>
    <w:rsid w:val="009F3B6D"/>
    <w:rsid w:val="00B951DC"/>
    <w:rsid w:val="00D72450"/>
    <w:rsid w:val="00E0635A"/>
    <w:rsid w:val="00EC2D4B"/>
    <w:rsid w:val="00F3129D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6D5D"/>
  <w15:docId w15:val="{3ACC0BA0-DAA1-4DC5-A277-22E15FA2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0"/>
    <w:next w:val="a"/>
    <w:link w:val="10"/>
    <w:uiPriority w:val="9"/>
    <w:qFormat/>
    <w:pPr>
      <w:numPr>
        <w:numId w:val="1"/>
      </w:numPr>
      <w:spacing w:line="276" w:lineRule="auto"/>
      <w:outlineLvl w:val="0"/>
    </w:pPr>
    <w:rPr>
      <w:rFonts w:ascii="Times New Roman" w:hAnsi="Times New Roman" w:cs="Times New Roman"/>
      <w:b/>
      <w:sz w:val="24"/>
      <w:szCs w:val="24"/>
      <w:lang w:val="uk-UA"/>
    </w:rPr>
  </w:style>
  <w:style w:type="paragraph" w:styleId="2">
    <w:name w:val="heading 2"/>
    <w:aliases w:val="Heading 2.1"/>
    <w:basedOn w:val="4"/>
    <w:next w:val="a"/>
    <w:link w:val="20"/>
    <w:uiPriority w:val="9"/>
    <w:unhideWhenUsed/>
    <w:qFormat/>
    <w:pPr>
      <w:ind w:left="0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0"/>
    <w:next w:val="a"/>
    <w:link w:val="30"/>
    <w:uiPriority w:val="9"/>
    <w:unhideWhenUsed/>
    <w:qFormat/>
    <w:pPr>
      <w:numPr>
        <w:numId w:val="2"/>
      </w:numPr>
      <w:outlineLvl w:val="2"/>
    </w:pPr>
    <w:rPr>
      <w:rFonts w:ascii="Times New Roman" w:hAnsi="Times New Roman" w:cs="Times New Roman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pPr>
      <w:ind w:left="567"/>
      <w:outlineLvl w:val="3"/>
    </w:pPr>
    <w:rPr>
      <w:rFonts w:ascii="Arial" w:hAnsi="Arial" w:cs="Arial"/>
      <w:i/>
      <w:sz w:val="20"/>
      <w:szCs w:val="20"/>
      <w:lang w:val="uk-UA"/>
    </w:rPr>
  </w:style>
  <w:style w:type="paragraph" w:styleId="5">
    <w:name w:val="heading 5"/>
    <w:basedOn w:val="3"/>
    <w:next w:val="a"/>
    <w:link w:val="50"/>
    <w:uiPriority w:val="9"/>
    <w:unhideWhenUsed/>
    <w:qFormat/>
    <w:pPr>
      <w:numPr>
        <w:numId w:val="3"/>
      </w:numPr>
      <w:outlineLvl w:val="4"/>
    </w:pPr>
  </w:style>
  <w:style w:type="paragraph" w:styleId="6">
    <w:name w:val="heading 6"/>
    <w:basedOn w:val="a0"/>
    <w:next w:val="a"/>
    <w:link w:val="60"/>
    <w:uiPriority w:val="9"/>
    <w:unhideWhenUsed/>
    <w:qFormat/>
    <w:pPr>
      <w:numPr>
        <w:ilvl w:val="1"/>
        <w:numId w:val="1"/>
      </w:numPr>
      <w:outlineLvl w:val="5"/>
    </w:pPr>
    <w:rPr>
      <w:rFonts w:ascii="Times New Roman" w:hAnsi="Times New Roman" w:cs="Times New Roman"/>
      <w:sz w:val="24"/>
      <w:szCs w:val="24"/>
      <w:lang w:val="uk-UA"/>
    </w:rPr>
  </w:style>
  <w:style w:type="paragraph" w:styleId="7">
    <w:name w:val="heading 7"/>
    <w:basedOn w:val="a0"/>
    <w:next w:val="a"/>
    <w:link w:val="70"/>
    <w:uiPriority w:val="9"/>
    <w:unhideWhenUsed/>
    <w:qFormat/>
    <w:pPr>
      <w:numPr>
        <w:ilvl w:val="2"/>
        <w:numId w:val="1"/>
      </w:numPr>
      <w:outlineLvl w:val="6"/>
    </w:pPr>
    <w:rPr>
      <w:rFonts w:ascii="Arial" w:hAnsi="Arial"/>
      <w:sz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  <w:lang w:val="uk-UA"/>
    </w:rPr>
  </w:style>
  <w:style w:type="character" w:customStyle="1" w:styleId="20">
    <w:name w:val="Заголовок 2 Знак"/>
    <w:aliases w:val="Heading 2.1 Знак"/>
    <w:basedOn w:val="a1"/>
    <w:link w:val="2"/>
    <w:uiPriority w:val="9"/>
    <w:rPr>
      <w:rFonts w:ascii="Times New Roman" w:hAnsi="Times New Roman" w:cs="Times New Roman"/>
      <w:i/>
      <w:sz w:val="24"/>
      <w:szCs w:val="24"/>
      <w:lang w:val="uk-UA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1"/>
    <w:link w:val="4"/>
    <w:uiPriority w:val="9"/>
    <w:rPr>
      <w:rFonts w:ascii="Arial" w:hAnsi="Arial" w:cs="Arial"/>
      <w:i/>
      <w:sz w:val="20"/>
      <w:szCs w:val="20"/>
      <w:lang w:val="uk-UA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hAnsi="Times New Roman" w:cs="Times New Roman"/>
      <w:sz w:val="24"/>
      <w:szCs w:val="24"/>
      <w:lang w:val="uk-UA"/>
    </w:rPr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Pr>
      <w:lang w:val="en-GB"/>
    </w:rPr>
  </w:style>
  <w:style w:type="paragraph" w:styleId="a7">
    <w:name w:val="footer"/>
    <w:basedOn w:val="a"/>
    <w:link w:val="a8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Pr>
      <w:lang w:val="en-GB"/>
    </w:rPr>
  </w:style>
  <w:style w:type="paragraph" w:styleId="a9">
    <w:name w:val="TOC Heading"/>
    <w:basedOn w:val="1"/>
    <w:next w:val="a"/>
    <w:uiPriority w:val="39"/>
    <w:unhideWhenUsed/>
    <w:qFormat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left" w:pos="567"/>
        <w:tab w:val="right" w:leader="dot" w:pos="9498"/>
      </w:tabs>
      <w:spacing w:after="100"/>
    </w:pPr>
  </w:style>
  <w:style w:type="character" w:styleId="aa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ab">
    <w:name w:val="foot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Pr>
      <w:sz w:val="20"/>
      <w:szCs w:val="20"/>
      <w:lang w:val="en-GB"/>
    </w:rPr>
  </w:style>
  <w:style w:type="character" w:styleId="ad">
    <w:name w:val="footnote reference"/>
    <w:basedOn w:val="a1"/>
    <w:uiPriority w:val="99"/>
    <w:semiHidden/>
    <w:unhideWhenUsed/>
    <w:rPr>
      <w:vertAlign w:val="superscript"/>
    </w:rPr>
  </w:style>
  <w:style w:type="character" w:styleId="ae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Pr>
      <w:sz w:val="20"/>
      <w:szCs w:val="20"/>
      <w:lang w:val="en-GB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  <w:lang w:val="en-GB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Pr>
      <w:rFonts w:ascii="Segoe UI" w:hAnsi="Segoe UI" w:cs="Segoe UI"/>
      <w:sz w:val="18"/>
      <w:szCs w:val="18"/>
      <w:lang w:val="en-GB"/>
    </w:rPr>
  </w:style>
  <w:style w:type="character" w:customStyle="1" w:styleId="60">
    <w:name w:val="Заголовок 6 Знак"/>
    <w:basedOn w:val="a1"/>
    <w:link w:val="6"/>
    <w:uiPriority w:val="9"/>
    <w:rPr>
      <w:rFonts w:ascii="Times New Roman" w:hAnsi="Times New Roman" w:cs="Times New Roman"/>
      <w:sz w:val="24"/>
      <w:szCs w:val="24"/>
      <w:lang w:val="uk-UA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rPr>
      <w:rFonts w:ascii="Arial" w:hAnsi="Arial"/>
      <w:sz w:val="20"/>
      <w:lang w:val="en-US"/>
    </w:rPr>
  </w:style>
  <w:style w:type="paragraph" w:styleId="af6">
    <w:name w:val="Revision"/>
    <w:hidden/>
    <w:uiPriority w:val="99"/>
    <w:semiHidden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054B-439A-4422-B62F-632E1798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19831</Words>
  <Characters>11305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Dentons Europe</Company>
  <LinksUpToDate>false</LinksUpToDate>
  <CharactersWithSpaces>31074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Bon</dc:creator>
  <cp:lastModifiedBy>Річняк Юлія Сергіївна</cp:lastModifiedBy>
  <cp:revision>5</cp:revision>
  <cp:lastPrinted>2019-06-24T14:26:00Z</cp:lastPrinted>
  <dcterms:created xsi:type="dcterms:W3CDTF">2019-06-19T15:45:00Z</dcterms:created>
  <dcterms:modified xsi:type="dcterms:W3CDTF">2019-08-13T12:07:00Z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Kyiv 1887493.1</vt:lpwstr>
  </property>
</Properties>
</file>