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70" w:rsidRDefault="006759B9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 xml:space="preserve">Додаток </w:t>
      </w:r>
      <w:r w:rsidR="00C90AB6">
        <w:rPr>
          <w:i/>
          <w:color w:val="808080"/>
          <w:sz w:val="20"/>
          <w:szCs w:val="20"/>
          <w:lang w:val="uk-UA"/>
        </w:rPr>
        <w:t>11</w:t>
      </w:r>
      <w:r w:rsidR="00C90AB6">
        <w:rPr>
          <w:i/>
          <w:color w:val="808080"/>
          <w:sz w:val="20"/>
          <w:szCs w:val="20"/>
        </w:rPr>
        <w:t xml:space="preserve"> </w:t>
      </w:r>
      <w:r>
        <w:rPr>
          <w:i/>
          <w:color w:val="808080"/>
          <w:sz w:val="20"/>
          <w:szCs w:val="20"/>
        </w:rPr>
        <w:t>до протоколу бізнес - комітету АБ «УКРГАЗБАНК»</w:t>
      </w:r>
    </w:p>
    <w:p w:rsidR="00396C70" w:rsidRPr="00683C36" w:rsidRDefault="006759B9">
      <w:pPr>
        <w:tabs>
          <w:tab w:val="left" w:pos="4065"/>
        </w:tabs>
        <w:ind w:left="-787" w:firstLine="787"/>
        <w:jc w:val="right"/>
        <w:rPr>
          <w:sz w:val="22"/>
          <w:szCs w:val="22"/>
          <w:lang w:val="uk-UA"/>
        </w:rPr>
      </w:pPr>
      <w:bookmarkStart w:id="0" w:name="_heading=h.gjdgxs" w:colFirst="0" w:colLast="0"/>
      <w:bookmarkEnd w:id="0"/>
      <w:r>
        <w:rPr>
          <w:i/>
          <w:color w:val="808080"/>
          <w:sz w:val="20"/>
          <w:szCs w:val="20"/>
        </w:rPr>
        <w:t>№</w:t>
      </w:r>
      <w:r w:rsidR="002A085B">
        <w:rPr>
          <w:i/>
          <w:color w:val="808080"/>
          <w:sz w:val="20"/>
          <w:szCs w:val="20"/>
          <w:lang w:val="uk-UA"/>
        </w:rPr>
        <w:t xml:space="preserve">64/2 </w:t>
      </w:r>
      <w:r>
        <w:rPr>
          <w:i/>
          <w:color w:val="808080"/>
          <w:sz w:val="20"/>
          <w:szCs w:val="20"/>
        </w:rPr>
        <w:t xml:space="preserve">від </w:t>
      </w:r>
      <w:r w:rsidR="002A085B">
        <w:rPr>
          <w:i/>
          <w:color w:val="808080"/>
          <w:sz w:val="20"/>
          <w:szCs w:val="20"/>
          <w:lang w:val="uk-UA"/>
        </w:rPr>
        <w:t>29.05.2025</w:t>
      </w:r>
      <w:bookmarkStart w:id="1" w:name="_GoBack"/>
      <w:bookmarkEnd w:id="1"/>
    </w:p>
    <w:p w:rsidR="00396C70" w:rsidRDefault="00396C70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</w:p>
    <w:p w:rsidR="00396C70" w:rsidRDefault="006759B9">
      <w:pPr>
        <w:tabs>
          <w:tab w:val="left" w:pos="7740"/>
        </w:tabs>
        <w:jc w:val="center"/>
        <w:rPr>
          <w:b/>
          <w:sz w:val="20"/>
          <w:szCs w:val="20"/>
        </w:rPr>
      </w:pPr>
      <w:r>
        <w:rPr>
          <w:noProof/>
          <w:lang w:val="uk-UA" w:eastAsia="uk-UA"/>
        </w:rPr>
        <w:drawing>
          <wp:inline distT="0" distB="0" distL="0" distR="0">
            <wp:extent cx="1906270" cy="457200"/>
            <wp:effectExtent l="0" t="0" r="0" b="0"/>
            <wp:docPr id="219" name="image1.png" descr="https://lh7-rt.googleusercontent.com/docsz/AD_4nXcLue5ZYJkpeThrap0j92fxQD3AjW0-wcffchoGVnzrREtQTY-LBy9W8Q_HjIvY2v7f8zLkGXhuREDnObqRDp9pCTnHpTiRvhHHM9q0JDtqGbk73BSK1bXWAyMZ96O30XLbqvzPBoMD9drf31RitxkQcLE?key=rA_MSB1dgC_H5K7U5K4q-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rt.googleusercontent.com/docsz/AD_4nXcLue5ZYJkpeThrap0j92fxQD3AjW0-wcffchoGVnzrREtQTY-LBy9W8Q_HjIvY2v7f8zLkGXhuREDnObqRDp9pCTnHpTiRvhHHM9q0JDtqGbk73BSK1bXWAyMZ96O30XLbqvzPBoMD9drf31RitxkQcLE?key=rA_MSB1dgC_H5K7U5K4q-w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6C70" w:rsidRDefault="006759B9">
      <w:pPr>
        <w:tabs>
          <w:tab w:val="left" w:pos="77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ЗАЯВА на визначення послуг</w:t>
      </w:r>
    </w:p>
    <w:p w:rsidR="00396C70" w:rsidRDefault="006759B9">
      <w:pPr>
        <w:tabs>
          <w:tab w:val="left" w:pos="6840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до Договору комплексного банківського обслуговування </w:t>
      </w:r>
    </w:p>
    <w:p w:rsidR="00396C70" w:rsidRDefault="006759B9">
      <w:pPr>
        <w:tabs>
          <w:tab w:val="left" w:pos="6840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№_______________ від __.__.20__</w:t>
      </w:r>
    </w:p>
    <w:tbl>
      <w:tblPr>
        <w:tblStyle w:val="afa"/>
        <w:tblW w:w="111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8"/>
      </w:tblGrid>
      <w:tr w:rsidR="00396C70">
        <w:tc>
          <w:tcPr>
            <w:tcW w:w="11108" w:type="dxa"/>
            <w:shd w:val="clear" w:color="auto" w:fill="D9D9D9"/>
          </w:tcPr>
          <w:p w:rsidR="00396C70" w:rsidRDefault="006759B9">
            <w:pPr>
              <w:numPr>
                <w:ilvl w:val="0"/>
                <w:numId w:val="1"/>
              </w:numPr>
              <w:tabs>
                <w:tab w:val="left" w:pos="459"/>
              </w:tabs>
              <w:ind w:left="459" w:hanging="28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Дані Клієнта та контактна інформація</w:t>
            </w:r>
          </w:p>
        </w:tc>
      </w:tr>
    </w:tbl>
    <w:p w:rsidR="00396C70" w:rsidRDefault="00396C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</w:rPr>
      </w:pPr>
    </w:p>
    <w:tbl>
      <w:tblPr>
        <w:tblStyle w:val="afb"/>
        <w:tblW w:w="11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2246"/>
        <w:gridCol w:w="1039"/>
        <w:gridCol w:w="203"/>
        <w:gridCol w:w="250"/>
        <w:gridCol w:w="402"/>
        <w:gridCol w:w="1010"/>
        <w:gridCol w:w="1395"/>
        <w:gridCol w:w="250"/>
        <w:gridCol w:w="3870"/>
        <w:gridCol w:w="284"/>
      </w:tblGrid>
      <w:tr w:rsidR="008B4B35" w:rsidTr="004F6F8E">
        <w:trPr>
          <w:trHeight w:val="444"/>
        </w:trPr>
        <w:tc>
          <w:tcPr>
            <w:tcW w:w="2496" w:type="dxa"/>
            <w:gridSpan w:val="2"/>
            <w:vMerge w:val="restart"/>
            <w:shd w:val="clear" w:color="auto" w:fill="auto"/>
          </w:tcPr>
          <w:p w:rsidR="008B4B35" w:rsidRDefault="008B4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Найменування /прізвище, ім'я та по батькові (за наявності) Клієнта, що відкриває рахунок</w:t>
            </w:r>
          </w:p>
          <w:p w:rsidR="008B4B35" w:rsidRDefault="008B4B35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8703" w:type="dxa"/>
            <w:gridSpan w:val="9"/>
            <w:shd w:val="clear" w:color="auto" w:fill="auto"/>
          </w:tcPr>
          <w:p w:rsidR="008B4B35" w:rsidRDefault="008B4B35">
            <w:pPr>
              <w:ind w:left="-58"/>
              <w:rPr>
                <w:i/>
                <w:sz w:val="20"/>
                <w:szCs w:val="20"/>
              </w:rPr>
            </w:pPr>
          </w:p>
        </w:tc>
      </w:tr>
      <w:tr w:rsidR="008B4B35" w:rsidTr="004F6F8E">
        <w:trPr>
          <w:trHeight w:val="443"/>
        </w:trPr>
        <w:tc>
          <w:tcPr>
            <w:tcW w:w="2496" w:type="dxa"/>
            <w:gridSpan w:val="2"/>
            <w:vMerge/>
            <w:shd w:val="clear" w:color="auto" w:fill="auto"/>
          </w:tcPr>
          <w:p w:rsidR="008B4B35" w:rsidRDefault="008B4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8703" w:type="dxa"/>
            <w:gridSpan w:val="9"/>
            <w:shd w:val="clear" w:color="auto" w:fill="auto"/>
          </w:tcPr>
          <w:p w:rsidR="008B4B35" w:rsidRDefault="008B4B35">
            <w:pPr>
              <w:ind w:left="-58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16"/>
                <w:szCs w:val="16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підприємця/фізичної особи, що провадить незалежну професійну діяльність)</w:t>
            </w:r>
          </w:p>
        </w:tc>
      </w:tr>
      <w:tr w:rsidR="008B4B35" w:rsidTr="004F6F8E">
        <w:trPr>
          <w:trHeight w:val="271"/>
        </w:trPr>
        <w:tc>
          <w:tcPr>
            <w:tcW w:w="43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4B35" w:rsidRDefault="008B4B35" w:rsidP="008B4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ЄДРПОУ 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4B35" w:rsidRDefault="008B4B35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8B4B35" w:rsidTr="004F6F8E">
        <w:trPr>
          <w:trHeight w:val="568"/>
        </w:trPr>
        <w:tc>
          <w:tcPr>
            <w:tcW w:w="43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4B35" w:rsidRDefault="008B4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Додаткова інформація: </w:t>
            </w:r>
          </w:p>
          <w:p w:rsidR="008B4B35" w:rsidRDefault="008B4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4B35" w:rsidRDefault="008B4B35">
            <w:pPr>
              <w:tabs>
                <w:tab w:val="left" w:pos="774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</w:t>
            </w:r>
            <w:r w:rsidR="00C84D8A">
              <w:rPr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color w:val="000000"/>
                <w:sz w:val="14"/>
                <w:szCs w:val="14"/>
              </w:rPr>
              <w:t>(Підлягає обов'язковому заповненню у випадках, визначених Інструкцією про порядок відкриття і закриття рахунків клієнтів банків та кореспондентських рахунків банків резидентів і нерезидентів)</w:t>
            </w:r>
          </w:p>
          <w:p w:rsidR="008B4B35" w:rsidRDefault="008B4B35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8B4B35" w:rsidTr="004F6F8E">
        <w:trPr>
          <w:trHeight w:val="234"/>
        </w:trPr>
        <w:tc>
          <w:tcPr>
            <w:tcW w:w="43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4B35" w:rsidRDefault="008B4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Місцезнаходження: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4B35" w:rsidRDefault="008B4B35">
            <w:pPr>
              <w:tabs>
                <w:tab w:val="left" w:pos="7740"/>
              </w:tabs>
              <w:rPr>
                <w:color w:val="FF0000"/>
                <w:sz w:val="20"/>
                <w:szCs w:val="20"/>
              </w:rPr>
            </w:pPr>
          </w:p>
        </w:tc>
      </w:tr>
      <w:tr w:rsidR="008B4B35" w:rsidTr="004F6F8E">
        <w:trPr>
          <w:trHeight w:val="271"/>
        </w:trPr>
        <w:tc>
          <w:tcPr>
            <w:tcW w:w="43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4B35" w:rsidRDefault="008B4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Поштова адреса: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4B35" w:rsidRDefault="008B4B35">
            <w:pPr>
              <w:tabs>
                <w:tab w:val="left" w:pos="7740"/>
              </w:tabs>
              <w:rPr>
                <w:color w:val="FF0000"/>
                <w:sz w:val="20"/>
                <w:szCs w:val="20"/>
              </w:rPr>
            </w:pPr>
          </w:p>
        </w:tc>
      </w:tr>
      <w:tr w:rsidR="008B4B35" w:rsidTr="004F6F8E">
        <w:trPr>
          <w:trHeight w:val="435"/>
        </w:trPr>
        <w:tc>
          <w:tcPr>
            <w:tcW w:w="43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4B35" w:rsidRDefault="008B4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 </w:t>
            </w:r>
            <w:r>
              <w:rPr>
                <w:i/>
                <w:sz w:val="20"/>
                <w:szCs w:val="20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4B35" w:rsidRDefault="008B4B35">
            <w:pPr>
              <w:tabs>
                <w:tab w:val="left" w:pos="7740"/>
              </w:tabs>
              <w:rPr>
                <w:color w:val="FF0000"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</w:t>
            </w:r>
            <w:r>
              <w:rPr>
                <w:i/>
                <w:color w:val="008000"/>
                <w:sz w:val="18"/>
                <w:szCs w:val="18"/>
              </w:rPr>
              <w:t>якщо Клієнт не є платником ПДВ, зазначається «Не є платником ПДВ»)</w:t>
            </w:r>
          </w:p>
        </w:tc>
      </w:tr>
      <w:tr w:rsidR="008B4B35" w:rsidTr="004F6F8E">
        <w:trPr>
          <w:trHeight w:val="285"/>
        </w:trPr>
        <w:tc>
          <w:tcPr>
            <w:tcW w:w="1119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8B4B35" w:rsidRDefault="008B4B35">
            <w:pPr>
              <w:numPr>
                <w:ilvl w:val="0"/>
                <w:numId w:val="1"/>
              </w:numPr>
              <w:tabs>
                <w:tab w:val="left" w:pos="459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 інформація Клієнта</w:t>
            </w:r>
          </w:p>
        </w:tc>
      </w:tr>
      <w:tr w:rsidR="008B4B35" w:rsidTr="004F6F8E">
        <w:trPr>
          <w:trHeight w:val="168"/>
        </w:trPr>
        <w:tc>
          <w:tcPr>
            <w:tcW w:w="3535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B4B35" w:rsidRDefault="008B4B35" w:rsidP="004F6F8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7664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B4B35" w:rsidRDefault="008B4B35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8B4B35" w:rsidTr="004F6F8E">
        <w:trPr>
          <w:trHeight w:val="185"/>
        </w:trPr>
        <w:tc>
          <w:tcPr>
            <w:tcW w:w="3535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B4B35" w:rsidRDefault="008B4B3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Електронна пошта</w:t>
            </w:r>
          </w:p>
        </w:tc>
        <w:tc>
          <w:tcPr>
            <w:tcW w:w="7664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B4B35" w:rsidRDefault="008B4B35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8B4B35" w:rsidTr="004F6F8E">
        <w:trPr>
          <w:trHeight w:val="285"/>
        </w:trPr>
        <w:tc>
          <w:tcPr>
            <w:tcW w:w="1119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8B4B35" w:rsidRDefault="008B4B35">
            <w:pPr>
              <w:numPr>
                <w:ilvl w:val="0"/>
                <w:numId w:val="1"/>
              </w:numPr>
              <w:tabs>
                <w:tab w:val="left" w:pos="459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Загальна інформація та умови запитуваних послуг</w:t>
            </w:r>
          </w:p>
        </w:tc>
      </w:tr>
      <w:tr w:rsidR="008B4B35" w:rsidTr="004F6F8E">
        <w:trPr>
          <w:trHeight w:val="2997"/>
        </w:trPr>
        <w:tc>
          <w:tcPr>
            <w:tcW w:w="11199" w:type="dxa"/>
            <w:gridSpan w:val="11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</w:tcPr>
          <w:p w:rsidR="008B4B35" w:rsidRDefault="008B4B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Просимо АБ «УКРГАЗБАНК» (далі – Банк або КНЕДП):</w:t>
            </w:r>
          </w:p>
          <w:p w:rsidR="008B4B35" w:rsidRDefault="008B4B35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підключити до Послуг</w:t>
            </w:r>
            <w:r w:rsidR="00E3740C">
              <w:rPr>
                <w:sz w:val="20"/>
                <w:szCs w:val="20"/>
                <w:lang w:val="uk-UA"/>
              </w:rPr>
              <w:t xml:space="preserve">и з </w:t>
            </w:r>
            <w:r w:rsidR="00E3740C" w:rsidRPr="00FF0FE3">
              <w:rPr>
                <w:color w:val="000000"/>
                <w:sz w:val="20"/>
                <w:szCs w:val="20"/>
              </w:rPr>
              <w:t>здійснення Розрахунково-касов</w:t>
            </w:r>
            <w:r w:rsidR="00E3740C">
              <w:rPr>
                <w:color w:val="000000"/>
                <w:sz w:val="20"/>
                <w:szCs w:val="20"/>
                <w:lang w:val="uk-UA"/>
              </w:rPr>
              <w:t>ого</w:t>
            </w:r>
            <w:r w:rsidR="00E3740C" w:rsidRPr="00FF0FE3">
              <w:rPr>
                <w:color w:val="000000"/>
                <w:sz w:val="20"/>
                <w:szCs w:val="20"/>
              </w:rPr>
              <w:t xml:space="preserve"> та Дистанційн</w:t>
            </w:r>
            <w:r w:rsidR="00E3740C">
              <w:rPr>
                <w:color w:val="000000"/>
                <w:sz w:val="20"/>
                <w:szCs w:val="20"/>
                <w:lang w:val="uk-UA"/>
              </w:rPr>
              <w:t>ого</w:t>
            </w:r>
            <w:r w:rsidR="00E3740C" w:rsidRPr="00FF0FE3">
              <w:rPr>
                <w:color w:val="000000"/>
                <w:sz w:val="20"/>
                <w:szCs w:val="20"/>
              </w:rPr>
              <w:t xml:space="preserve"> обслуговування Рахунків</w:t>
            </w:r>
            <w:r w:rsidR="00E3740C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8B4B35" w:rsidRDefault="008B4B35">
            <w:pPr>
              <w:ind w:left="720"/>
              <w:jc w:val="both"/>
              <w:rPr>
                <w:sz w:val="8"/>
                <w:szCs w:val="8"/>
              </w:rPr>
            </w:pPr>
          </w:p>
          <w:p w:rsidR="008B4B35" w:rsidRDefault="008B4B35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встановити плату, визначену на підставі та у відповідності з затвердженими Тарифами Банку, що є невід’ємною частиною </w:t>
            </w:r>
            <w:r>
              <w:rPr>
                <w:b/>
                <w:sz w:val="20"/>
                <w:szCs w:val="20"/>
              </w:rPr>
              <w:t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комплексного банківського обслуговування</w:t>
            </w:r>
            <w:r>
              <w:rPr>
                <w:sz w:val="20"/>
                <w:szCs w:val="20"/>
              </w:rPr>
              <w:t xml:space="preserve">, та розміщені на офіційному сайті Банку </w:t>
            </w:r>
            <w:r>
              <w:rPr>
                <w:sz w:val="20"/>
                <w:szCs w:val="20"/>
                <w:lang w:val="uk-UA"/>
              </w:rPr>
              <w:t>з</w:t>
            </w:r>
            <w:r>
              <w:rPr>
                <w:sz w:val="20"/>
                <w:szCs w:val="20"/>
              </w:rPr>
              <w:t>:</w:t>
            </w:r>
          </w:p>
          <w:p w:rsidR="008B4B35" w:rsidRDefault="008B4B35">
            <w:pPr>
              <w:ind w:left="720"/>
              <w:jc w:val="both"/>
              <w:rPr>
                <w:sz w:val="10"/>
                <w:szCs w:val="10"/>
              </w:rPr>
            </w:pPr>
          </w:p>
          <w:tbl>
            <w:tblPr>
              <w:tblStyle w:val="afd"/>
              <w:tblW w:w="10231" w:type="dxa"/>
              <w:tblInd w:w="675" w:type="dxa"/>
              <w:tblLayout w:type="fixed"/>
              <w:tblLook w:val="0400" w:firstRow="0" w:lastRow="0" w:firstColumn="0" w:lastColumn="0" w:noHBand="0" w:noVBand="1"/>
            </w:tblPr>
            <w:tblGrid>
              <w:gridCol w:w="10231"/>
            </w:tblGrid>
            <w:tr w:rsidR="008B4B35" w:rsidTr="00FF0FE3">
              <w:trPr>
                <w:trHeight w:val="245"/>
              </w:trPr>
              <w:tc>
                <w:tcPr>
                  <w:tcW w:w="10231" w:type="dxa"/>
                  <w:shd w:val="clear" w:color="auto" w:fill="auto"/>
                </w:tcPr>
                <w:p w:rsidR="008B4B35" w:rsidRPr="008F3B0D" w:rsidRDefault="008B4B35" w:rsidP="008B4B35">
                  <w:pPr>
                    <w:jc w:val="both"/>
                    <w:rPr>
                      <w:i/>
                      <w:color w:val="00B050"/>
                      <w:sz w:val="16"/>
                      <w:szCs w:val="16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</w:rPr>
                    <w:t>&lt;</w:t>
                  </w:r>
                  <w:r>
                    <w:rPr>
                      <w:i/>
                      <w:color w:val="00B050"/>
                      <w:sz w:val="16"/>
                      <w:szCs w:val="16"/>
                      <w:lang w:val="uk-UA"/>
                    </w:rPr>
                    <w:t>обирається необхідне, інше видаляється. Якщо, клієнт відкриває два чи більше поточних/окремих/розрахункових рахунків, Заява на визначення послуг доповнюється необхідною кількістю відповідних рядків в залежності від виду Рахунку</w:t>
                  </w:r>
                  <w:r w:rsidRPr="008F3B0D">
                    <w:rPr>
                      <w:i/>
                      <w:color w:val="00B050"/>
                      <w:sz w:val="16"/>
                      <w:szCs w:val="16"/>
                      <w:lang w:val="uk-UA"/>
                    </w:rPr>
                    <w:t xml:space="preserve"> &gt;</w:t>
                  </w:r>
                </w:p>
                <w:p w:rsidR="008B4B35" w:rsidRPr="00C90AB6" w:rsidRDefault="008B4B35" w:rsidP="00C90AB6">
                  <w:pPr>
                    <w:pStyle w:val="af7"/>
                    <w:numPr>
                      <w:ilvl w:val="0"/>
                      <w:numId w:val="9"/>
                    </w:numPr>
                    <w:tabs>
                      <w:tab w:val="left" w:pos="7740"/>
                    </w:tabs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 w:rsidRPr="00C90AB6">
                    <w:rPr>
                      <w:color w:val="000000"/>
                      <w:sz w:val="20"/>
                      <w:szCs w:val="20"/>
                    </w:rPr>
                    <w:t>розрахунково-касов</w:t>
                  </w:r>
                  <w:r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>ого та Дистанційного обслуговування</w:t>
                  </w:r>
                  <w:r w:rsidRPr="00C90AB6">
                    <w:rPr>
                      <w:color w:val="000000"/>
                      <w:sz w:val="20"/>
                      <w:szCs w:val="20"/>
                    </w:rPr>
                    <w:t xml:space="preserve"> Поточного рахунку</w:t>
                  </w:r>
                  <w:r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№ </w:t>
                  </w:r>
                  <w:r w:rsidRPr="00C90AB6">
                    <w:rPr>
                      <w:color w:val="000000"/>
                      <w:sz w:val="20"/>
                      <w:szCs w:val="20"/>
                      <w:lang w:val="en-US"/>
                    </w:rPr>
                    <w:t>UA</w:t>
                  </w:r>
                  <w:r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>____________</w:t>
                  </w:r>
                  <w:r w:rsidRPr="00C90AB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C90AB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на </w:t>
                  </w:r>
                  <w:r w:rsidRPr="00C90AB6">
                    <w:rPr>
                      <w:color w:val="000000"/>
                      <w:sz w:val="20"/>
                      <w:szCs w:val="20"/>
                    </w:rPr>
                    <w:t xml:space="preserve">умовах Тарифного </w:t>
                  </w:r>
                  <w:r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>пакету</w:t>
                  </w:r>
                  <w:r w:rsidRPr="00C90AB6">
                    <w:rPr>
                      <w:color w:val="000000"/>
                      <w:sz w:val="20"/>
                      <w:szCs w:val="20"/>
                    </w:rPr>
                    <w:t xml:space="preserve"> «____________»,</w:t>
                  </w:r>
                </w:p>
                <w:p w:rsidR="008B4B35" w:rsidRPr="00C90AB6" w:rsidRDefault="00A92E69" w:rsidP="00C90AB6">
                  <w:pPr>
                    <w:pStyle w:val="af7"/>
                    <w:numPr>
                      <w:ilvl w:val="0"/>
                      <w:numId w:val="9"/>
                    </w:numPr>
                    <w:tabs>
                      <w:tab w:val="left" w:pos="7740"/>
                    </w:tabs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uk-UA"/>
                    </w:rPr>
                    <w:t>р</w:t>
                  </w:r>
                  <w:r w:rsidR="008B4B35" w:rsidRPr="00C90AB6">
                    <w:rPr>
                      <w:color w:val="000000"/>
                      <w:sz w:val="20"/>
                      <w:szCs w:val="20"/>
                    </w:rPr>
                    <w:t>озрахунково-касов</w:t>
                  </w:r>
                  <w:r w:rsidR="008B4B35"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>ого та Дистанційного обслуговування</w:t>
                  </w:r>
                  <w:r w:rsidR="008B4B35" w:rsidRPr="00C90AB6">
                    <w:rPr>
                      <w:color w:val="000000"/>
                      <w:sz w:val="20"/>
                      <w:szCs w:val="20"/>
                    </w:rPr>
                    <w:t xml:space="preserve"> Окремого рахунку </w:t>
                  </w:r>
                  <w:r w:rsidR="008B4B35"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№ </w:t>
                  </w:r>
                  <w:r w:rsidR="008B4B35" w:rsidRPr="00C90AB6">
                    <w:rPr>
                      <w:color w:val="000000"/>
                      <w:sz w:val="20"/>
                      <w:szCs w:val="20"/>
                      <w:lang w:val="en-US"/>
                    </w:rPr>
                    <w:t>UA</w:t>
                  </w:r>
                  <w:r w:rsidR="008B4B35"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>____________</w:t>
                  </w:r>
                  <w:r w:rsidR="008B4B35" w:rsidRPr="00C90AB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8B4B35"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="008B4B35" w:rsidRPr="00C90AB6">
                    <w:rPr>
                      <w:color w:val="000000"/>
                      <w:sz w:val="20"/>
                      <w:szCs w:val="20"/>
                    </w:rPr>
                    <w:t xml:space="preserve"> на умовах Тарифного п</w:t>
                  </w:r>
                  <w:r w:rsidR="008B4B35"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акету </w:t>
                  </w:r>
                  <w:r w:rsidR="008B4B35" w:rsidRPr="00C90AB6">
                    <w:rPr>
                      <w:color w:val="000000"/>
                      <w:sz w:val="20"/>
                      <w:szCs w:val="20"/>
                    </w:rPr>
                    <w:t>«____________»,</w:t>
                  </w:r>
                </w:p>
                <w:p w:rsidR="008B4B35" w:rsidRPr="00C90AB6" w:rsidRDefault="008B4B35" w:rsidP="00C90AB6">
                  <w:pPr>
                    <w:pStyle w:val="af7"/>
                    <w:numPr>
                      <w:ilvl w:val="0"/>
                      <w:numId w:val="9"/>
                    </w:numPr>
                    <w:tabs>
                      <w:tab w:val="left" w:pos="7740"/>
                    </w:tabs>
                    <w:ind w:right="-108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C90AB6">
                    <w:rPr>
                      <w:color w:val="000000"/>
                      <w:sz w:val="20"/>
                      <w:szCs w:val="20"/>
                    </w:rPr>
                    <w:t>розрахунково-касов</w:t>
                  </w:r>
                  <w:r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>ого та Дистанційного обслуговування</w:t>
                  </w:r>
                  <w:r w:rsidRPr="00C90AB6">
                    <w:rPr>
                      <w:color w:val="000000"/>
                      <w:sz w:val="20"/>
                      <w:szCs w:val="20"/>
                    </w:rPr>
                    <w:t xml:space="preserve"> Розрахункового рахунку </w:t>
                  </w:r>
                  <w:r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№ </w:t>
                  </w:r>
                  <w:r w:rsidRPr="00C90AB6">
                    <w:rPr>
                      <w:color w:val="000000"/>
                      <w:sz w:val="20"/>
                      <w:szCs w:val="20"/>
                      <w:lang w:val="en-US"/>
                    </w:rPr>
                    <w:t>UA</w:t>
                  </w:r>
                  <w:r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>____________</w:t>
                  </w:r>
                  <w:r w:rsidRPr="00C90AB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C90AB6">
                    <w:rPr>
                      <w:color w:val="000000"/>
                      <w:sz w:val="20"/>
                      <w:szCs w:val="20"/>
                    </w:rPr>
                    <w:t xml:space="preserve"> на умовах Тарифного плану «____________»</w:t>
                  </w:r>
                  <w:r w:rsidRPr="00C90AB6">
                    <w:rPr>
                      <w:color w:val="000000"/>
                      <w:sz w:val="20"/>
                      <w:szCs w:val="20"/>
                      <w:lang w:val="uk-UA"/>
                    </w:rPr>
                    <w:t>.</w:t>
                  </w:r>
                </w:p>
                <w:p w:rsidR="008B4B35" w:rsidRPr="008B4B35" w:rsidRDefault="008B4B35" w:rsidP="002F44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B4B35" w:rsidRDefault="008B4B35">
            <w:pPr>
              <w:jc w:val="both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8"/>
                <w:szCs w:val="18"/>
              </w:rPr>
              <w:t>&lt;</w:t>
            </w:r>
            <w:r>
              <w:rPr>
                <w:i/>
                <w:color w:val="00B050"/>
                <w:sz w:val="16"/>
                <w:szCs w:val="16"/>
              </w:rPr>
              <w:t>якщо Клієнт має декілька поточних рахунків, для зазначення рахунку для першочергового списання комісій банку Заява на визначення послуг доповнюється наступними пунктами &gt;</w:t>
            </w:r>
          </w:p>
          <w:p w:rsidR="008B4B35" w:rsidRDefault="008B4B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Рахунок для утримання комісії банку _________________________</w:t>
            </w:r>
          </w:p>
          <w:p w:rsidR="008B4B35" w:rsidRDefault="008B4B35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</w:p>
          <w:p w:rsidR="008B4B35" w:rsidRDefault="008B4B35">
            <w:pPr>
              <w:jc w:val="both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8"/>
                <w:szCs w:val="18"/>
              </w:rPr>
              <w:t>&lt;</w:t>
            </w:r>
            <w:r>
              <w:rPr>
                <w:i/>
                <w:color w:val="00B050"/>
                <w:sz w:val="16"/>
                <w:szCs w:val="16"/>
              </w:rPr>
              <w:t>якщо Клієнт відкриває рахунок умовного зберігання (ескроу) (далі – Рахунок ескроу) для здійснення операцій згідно Закону України «Про ринок електричної енергії»  на ринку РДН/ВДР відповідно до Правил ринку «на добу наперед» та внутрішньодобового ринку, затверджених постановою Національної комісії, що здійснює державне регулювання у сферах енергетики та комунальних послуг, від 14 березня 2018 року № 308, Заява на визначення послуг доповнюється наступними пунктами &gt;</w:t>
            </w:r>
          </w:p>
          <w:p w:rsidR="008B4B35" w:rsidRDefault="008B4B35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</w:p>
          <w:p w:rsidR="008B4B35" w:rsidRDefault="008B4B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Поточний рахунок для перерахування залишку коштів після закриття рахунку (якщо рахунок не визначений документами Оператора ринку відповідно до умов договору) __________</w:t>
            </w:r>
          </w:p>
          <w:p w:rsidR="008B4B35" w:rsidRDefault="008B4B35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</w:p>
          <w:p w:rsidR="008B4B35" w:rsidRDefault="008B4B35">
            <w:pPr>
              <w:jc w:val="both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>якщо Клієнт – юридична особа, Заява-Договір  доповнюється інформацією про строки здавання виручки,  обрати один варіант&gt;</w:t>
            </w:r>
          </w:p>
          <w:p w:rsidR="008B4B35" w:rsidRDefault="008B4B35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Зазначаємо строки здавання готівкової виручки:</w:t>
            </w:r>
          </w:p>
          <w:tbl>
            <w:tblPr>
              <w:tblStyle w:val="afe"/>
              <w:tblW w:w="106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289"/>
              <w:gridCol w:w="4111"/>
              <w:gridCol w:w="3260"/>
            </w:tblGrid>
            <w:tr w:rsidR="008B4B35">
              <w:tc>
                <w:tcPr>
                  <w:tcW w:w="3289" w:type="dxa"/>
                  <w:shd w:val="clear" w:color="auto" w:fill="auto"/>
                </w:tcPr>
                <w:p w:rsidR="008B4B35" w:rsidRDefault="00FF689C">
                  <w:pPr>
                    <w:tabs>
                      <w:tab w:val="left" w:pos="7740"/>
                    </w:tabs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sdt>
                    <w:sdtPr>
                      <w:tag w:val="goog_rdk_0"/>
                      <w:id w:val="1941873101"/>
                    </w:sdtPr>
                    <w:sdtEndPr/>
                    <w:sdtContent>
                      <w:r w:rsidR="008B4B35">
                        <w:rPr>
                          <w:rFonts w:ascii="Nova Mono" w:eastAsia="Nova Mono" w:hAnsi="Nova Mono" w:cs="Nova Mono"/>
                          <w:color w:val="000000"/>
                          <w:sz w:val="20"/>
                          <w:szCs w:val="20"/>
                        </w:rPr>
                        <w:t xml:space="preserve">⬜             </w:t>
                      </w:r>
                    </w:sdtContent>
                  </w:sdt>
                  <w:r w:rsidR="008B4B35">
                    <w:rPr>
                      <w:color w:val="000000"/>
                      <w:sz w:val="20"/>
                      <w:szCs w:val="20"/>
                    </w:rPr>
                    <w:t xml:space="preserve">   у</w:t>
                  </w:r>
                  <w:r w:rsidR="008B4B35">
                    <w:rPr>
                      <w:sz w:val="20"/>
                      <w:szCs w:val="20"/>
                    </w:rPr>
                    <w:t xml:space="preserve"> день надходження готівкової виручки (готівки) до каси Клієнта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8B4B35" w:rsidRDefault="00FF689C">
                  <w:pPr>
                    <w:tabs>
                      <w:tab w:val="left" w:pos="7740"/>
                    </w:tabs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sdt>
                    <w:sdtPr>
                      <w:tag w:val="goog_rdk_1"/>
                      <w:id w:val="-1983301790"/>
                    </w:sdtPr>
                    <w:sdtEndPr/>
                    <w:sdtContent>
                      <w:r w:rsidR="008B4B35">
                        <w:rPr>
                          <w:rFonts w:ascii="Nova Mono" w:eastAsia="Nova Mono" w:hAnsi="Nova Mono" w:cs="Nova Mono"/>
                          <w:color w:val="000000"/>
                          <w:sz w:val="20"/>
                          <w:szCs w:val="20"/>
                        </w:rPr>
                        <w:t xml:space="preserve">⬜             </w:t>
                      </w:r>
                    </w:sdtContent>
                  </w:sdt>
                  <w:r w:rsidR="008B4B35">
                    <w:rPr>
                      <w:color w:val="000000"/>
                      <w:sz w:val="20"/>
                      <w:szCs w:val="20"/>
                    </w:rPr>
                    <w:t xml:space="preserve">   наступного робочого дня після надходження готівкової виручки (готівки) до каси Клієнта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B4B35" w:rsidRDefault="00FF689C">
                  <w:pPr>
                    <w:tabs>
                      <w:tab w:val="left" w:pos="7740"/>
                    </w:tabs>
                    <w:ind w:right="-108"/>
                    <w:rPr>
                      <w:color w:val="000000"/>
                      <w:sz w:val="20"/>
                      <w:szCs w:val="20"/>
                    </w:rPr>
                  </w:pPr>
                  <w:sdt>
                    <w:sdtPr>
                      <w:tag w:val="goog_rdk_2"/>
                      <w:id w:val="-163787174"/>
                    </w:sdtPr>
                    <w:sdtEndPr/>
                    <w:sdtContent>
                      <w:r w:rsidR="008B4B35">
                        <w:rPr>
                          <w:rFonts w:ascii="Nova Mono" w:eastAsia="Nova Mono" w:hAnsi="Nova Mono" w:cs="Nova Mono"/>
                          <w:color w:val="000000"/>
                          <w:sz w:val="20"/>
                          <w:szCs w:val="20"/>
                        </w:rPr>
                        <w:t xml:space="preserve">⬜             </w:t>
                      </w:r>
                    </w:sdtContent>
                  </w:sdt>
                  <w:r w:rsidR="008B4B3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  <w:r w:rsidR="008B4B35">
                    <w:rPr>
                      <w:sz w:val="20"/>
                      <w:szCs w:val="20"/>
                    </w:rPr>
                    <w:t>не рідше, ніж один раз на п’ять робочих днів</w:t>
                  </w:r>
                </w:p>
              </w:tc>
            </w:tr>
          </w:tbl>
          <w:p w:rsidR="008B4B35" w:rsidRDefault="008B4B35">
            <w:pPr>
              <w:rPr>
                <w:sz w:val="20"/>
                <w:szCs w:val="20"/>
              </w:rPr>
            </w:pPr>
          </w:p>
          <w:p w:rsidR="008B4B35" w:rsidRDefault="008B4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Я, ______________</w:t>
            </w:r>
            <w:r w:rsidR="002F44C6">
              <w:rPr>
                <w:rStyle w:val="a4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підписанням  цієї Заяви на визначення послуг до Договору комплексного банківського обслуговування (далі – Договір) підтверджую:</w:t>
            </w:r>
          </w:p>
          <w:p w:rsidR="008B4B35" w:rsidRDefault="008B4B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ind w:left="62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Акцептування мною цієї Заяви на визначення послуг до Договору. </w:t>
            </w:r>
          </w:p>
          <w:p w:rsidR="008B4B35" w:rsidRDefault="008B4B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Всі умови Договору та діючих в Банку Тарифів мені зрозумілі та не потребують додаткового тлумачення, свій примірник цієї Заяви на визначення послуг до Договору я отримав(ла) в день акцептування мною цієї Заяви на визначення послуг до Договору.</w:t>
            </w:r>
          </w:p>
          <w:p w:rsidR="008B4B35" w:rsidRDefault="008B4B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Договору:</w:t>
            </w:r>
          </w:p>
          <w:p w:rsidR="008B4B35" w:rsidRDefault="008B4B35">
            <w:pPr>
              <w:ind w:left="62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 разі припинення права Уповноважених осіб Клієнта розпоряджатися Рахунком Клієнта (в тому числі внаслідок їх зміни), зміни найменування Клієнта та/або організаційно-правової форми негайно надати оновлену інформацію та відповідні документи зі змінами до Банку;</w:t>
            </w:r>
          </w:p>
          <w:p w:rsidR="008B4B35" w:rsidRDefault="008B4B35">
            <w:pPr>
              <w:ind w:left="62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 разі зміни кінцевих бенефіціарних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інформації;</w:t>
            </w:r>
          </w:p>
          <w:p w:rsidR="008B4B35" w:rsidRDefault="008B4B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Отримання від Банку інформації, зазначеної ст. 7 Закону України «Про фінансові послуги та фінансові компанії» та ст.30 Закону України «Про платіжні послуги», до підписання цієї Заяви на визначення послуг до Договору;</w:t>
            </w:r>
          </w:p>
          <w:p w:rsidR="008B4B35" w:rsidRDefault="008B4B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Отримання свого примірника Договору в день укладення (підписання);</w:t>
            </w:r>
          </w:p>
          <w:p w:rsidR="008B4B35" w:rsidRDefault="008B4B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Підтверджую, що  ознайомився з Регламентом КНЕДП, мені  зрозумілі всі положення Регламенту КНЕДП, погоджуюся з його положеннями та зобов’язуюсь дотримуватись Регламенту КНЕДП. Зміни, які можуть вноситися Банком до Регламенту КНЕДП, не потребують додаткового оформлення Сторонами змін до Договору.</w:t>
            </w:r>
          </w:p>
          <w:p w:rsidR="008B4B35" w:rsidRDefault="008B4B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Погоджуюся із наданням КНЕДП Сертифікатів відкритих ключів, сформованих для Клієнта  іншим особам, у відносинах із якими Клієнт використовує Відкриті ключі. </w:t>
            </w:r>
          </w:p>
          <w:p w:rsidR="008B4B35" w:rsidRDefault="008B4B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Погоджуюсь із наданням КНЕДП інформації про статус Сертифікатів відкритих ключів, сформованих для Клієнта (чинний, скасований і блокований) будь-яким іншим особам, які звертаються до КНЕДП за отриманням цієї інформації. </w:t>
            </w:r>
          </w:p>
          <w:p w:rsidR="008B4B35" w:rsidRDefault="008B4B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Погоджуюсь на надання доступу до сформованих для Клієнта Сертифікатів відкритих ключів іншим користувачам, шляхом їх надання, за відповідним пошуковим запитом, на ресурсі КНЕДП.</w:t>
            </w:r>
          </w:p>
          <w:p w:rsidR="008B4B35" w:rsidRDefault="008B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B050"/>
                <w:sz w:val="18"/>
                <w:szCs w:val="18"/>
              </w:rPr>
              <w:t>&lt;1.У випадку підписання Заяви на визначення послуг кваліфікованим електронним підписом та використання процедури віддаленої ідентифікації та відеоверифікації Клієнта&gt;</w:t>
            </w:r>
          </w:p>
          <w:p w:rsidR="008B4B35" w:rsidRDefault="008B4B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Надаю згоду, що Довідка про відкриття рахунку на умовах цього Договору може бути направлена Банком електронними каналами зв‘язку, в тому числі засобами електронних сервісів </w:t>
            </w:r>
            <w:r>
              <w:rPr>
                <w:rFonts w:eastAsia="Times New Roman"/>
                <w:i/>
                <w:color w:val="00B050"/>
                <w:sz w:val="18"/>
                <w:szCs w:val="18"/>
              </w:rPr>
              <w:t>&lt;зазначається назва електронного сервісу, через який здійснюється обмін інформацією та підписання договору: зокрема, але не виключно “ВЧАСНО” або “СОТА”&gt;</w:t>
            </w:r>
            <w:r>
              <w:rPr>
                <w:rFonts w:eastAsia="Times New Roman"/>
                <w:color w:val="000000"/>
                <w:sz w:val="20"/>
                <w:szCs w:val="20"/>
                <w:highlight w:val="white"/>
              </w:rPr>
              <w:t xml:space="preserve">  </w:t>
            </w:r>
          </w:p>
          <w:p w:rsidR="008B4B35" w:rsidRDefault="008B4B35">
            <w:pPr>
              <w:jc w:val="both"/>
              <w:rPr>
                <w:i/>
                <w:color w:val="008000"/>
                <w:sz w:val="18"/>
                <w:szCs w:val="18"/>
              </w:rPr>
            </w:pPr>
            <w:r>
              <w:rPr>
                <w:i/>
                <w:color w:val="008000"/>
                <w:sz w:val="18"/>
                <w:szCs w:val="18"/>
              </w:rPr>
              <w:t>&lt; 2.Заява доповнюється наступним в разі зміни умов обслуговування для діючого Клієнта&gt;</w:t>
            </w:r>
          </w:p>
          <w:p w:rsidR="008B4B35" w:rsidRDefault="008B4B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62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 «__» ____________ 20__ договори, за якими Банком надавались Клієнту послуги розрахунково-касового обслуговування та/або дистанційного обслуговування та/або обслуговування клієнта в Системі, втрачають чинність та  рахунки, які обслуговувались в рамках таких договорів, з дати визначеної цим пунктом, обслуговуватимуться на умовах Договору та обумовлених Тарифів.</w:t>
            </w:r>
          </w:p>
          <w:p w:rsidR="008B4B35" w:rsidRDefault="008B4B35">
            <w:pPr>
              <w:jc w:val="both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8"/>
                <w:szCs w:val="18"/>
              </w:rPr>
              <w:t>&lt;</w:t>
            </w:r>
            <w:r>
              <w:rPr>
                <w:i/>
                <w:color w:val="00B050"/>
                <w:sz w:val="16"/>
                <w:szCs w:val="16"/>
              </w:rPr>
              <w:t>якщо Клієнт відкриває рахунок умовного зберігання (ескроу) (далі – Рахунок ескроу) для здійснення операцій згідно Закону України «Про ринок електричної енергії»  на ринку РДН/ВДР відповідно до Правил ринку «на добу наперед» та внутрішньодобового ринку, затверджених постановою Національної комісії, що здійснює державне регулювання у сферах енергетики та комунальних послуг, від 14 березня 2018 року № 308, Заява на визначення послуг доповнюється наступними пунктами &gt;</w:t>
            </w:r>
          </w:p>
          <w:p w:rsidR="008B4B35" w:rsidRDefault="008B4B35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</w:p>
          <w:p w:rsidR="008B4B35" w:rsidRDefault="008B4B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7" w:hanging="42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 метою забезпечення розрахунків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відповідно до Закону про ринок електричної енергії та ________</w:t>
            </w:r>
            <w:r>
              <w:rPr>
                <w:rFonts w:eastAsia="Times New Roman"/>
                <w:b/>
                <w:i/>
                <w:color w:val="008000"/>
                <w:sz w:val="18"/>
                <w:szCs w:val="18"/>
              </w:rPr>
              <w:t>&lt;</w:t>
            </w:r>
            <w:r>
              <w:rPr>
                <w:rFonts w:eastAsia="Times New Roman"/>
                <w:i/>
                <w:color w:val="008000"/>
                <w:sz w:val="18"/>
                <w:szCs w:val="18"/>
              </w:rPr>
              <w:t>зазначити нормативний документ, що регулює проведення</w:t>
            </w:r>
            <w:r>
              <w:rPr>
                <w:rFonts w:eastAsia="Times New Roman"/>
                <w:b/>
                <w:i/>
                <w:color w:val="008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color w:val="008000"/>
                <w:sz w:val="18"/>
                <w:szCs w:val="18"/>
              </w:rPr>
              <w:t>операцій на ринку</w:t>
            </w:r>
            <w:r>
              <w:rPr>
                <w:rFonts w:eastAsia="Times New Roman"/>
                <w:b/>
                <w:i/>
                <w:color w:val="008000"/>
                <w:sz w:val="18"/>
                <w:szCs w:val="18"/>
              </w:rPr>
              <w:t>/</w:t>
            </w:r>
            <w:r>
              <w:rPr>
                <w:rFonts w:eastAsia="Times New Roman"/>
                <w:i/>
                <w:color w:val="008000"/>
                <w:sz w:val="18"/>
                <w:szCs w:val="18"/>
              </w:rPr>
              <w:t>аукціоні, наприклад</w:t>
            </w:r>
            <w:r>
              <w:rPr>
                <w:rFonts w:eastAsia="Times New Roman"/>
                <w:b/>
                <w:i/>
                <w:color w:val="008000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i/>
                <w:color w:val="00B050"/>
                <w:sz w:val="20"/>
                <w:szCs w:val="20"/>
              </w:rPr>
              <w:t>Постанови НКРЕКП від 14 березня 2018 року N 308 «Про затвердження Правил ринку "на добу наперед" та внутрішньодобового ринку»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доручаю Банку та надаю йому право на:</w:t>
            </w:r>
          </w:p>
          <w:p w:rsidR="008B4B35" w:rsidRDefault="008B4B3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2" w:hanging="37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надання Бенефіціару інформації щодо Рахунку ескроу, що становить банківську таємницю, каналами зв‘язку, визначеними цим Договором, договором Банку з Оператором ринку, нормативними документами Регулятора та/або Бенефіціара;</w:t>
            </w:r>
          </w:p>
          <w:p w:rsidR="008B4B35" w:rsidRDefault="008B4B35" w:rsidP="008F3B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left="1052" w:right="27" w:hanging="37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надання Бенефіціару доступу до Рахунку ескроу засобами Системи в обсязі, на умовах та в спосіб, передбачений цим Договором, договором Банку з Бенефіціаром, нормативними документами Регулятора та/або Бенефіціара, в тому числі доступ до перегляду Рахунку ескроу Клієнта в будь-який час без обмежень та право отримувати будь-яку іншу інформацію щодо Рахунку ескроу для належного виконання ним своїх зобов’язань за Договором та </w:t>
            </w:r>
            <w:r>
              <w:rPr>
                <w:rFonts w:eastAsia="Times New Roman"/>
                <w:i/>
                <w:color w:val="008000"/>
                <w:sz w:val="20"/>
                <w:szCs w:val="20"/>
              </w:rPr>
              <w:t>&lt;</w:t>
            </w:r>
            <w:r>
              <w:rPr>
                <w:rFonts w:eastAsia="Times New Roman"/>
                <w:b/>
                <w:i/>
                <w:color w:val="008000"/>
                <w:sz w:val="20"/>
                <w:szCs w:val="20"/>
              </w:rPr>
              <w:t xml:space="preserve">зазначити </w:t>
            </w:r>
            <w:r>
              <w:rPr>
                <w:rFonts w:eastAsia="Times New Roman"/>
                <w:i/>
                <w:color w:val="008000"/>
                <w:sz w:val="20"/>
                <w:szCs w:val="20"/>
              </w:rPr>
              <w:t>нормативний документ, що регулює проведення операцій на ринку/</w:t>
            </w:r>
            <w:r>
              <w:rPr>
                <w:rFonts w:eastAsia="Times New Roman"/>
                <w:b/>
                <w:i/>
                <w:color w:val="008000"/>
                <w:sz w:val="20"/>
                <w:szCs w:val="20"/>
              </w:rPr>
              <w:t>аукціон</w:t>
            </w:r>
            <w:r>
              <w:rPr>
                <w:rFonts w:eastAsia="Times New Roman"/>
                <w:i/>
                <w:color w:val="008000"/>
                <w:sz w:val="20"/>
                <w:szCs w:val="20"/>
              </w:rPr>
              <w:t>і із застосуванням рахунків умовного зберігання (ескроу)</w:t>
            </w:r>
            <w:r>
              <w:rPr>
                <w:rFonts w:eastAsia="Times New Roman"/>
                <w:b/>
                <w:i/>
                <w:color w:val="008000"/>
                <w:sz w:val="20"/>
                <w:szCs w:val="20"/>
              </w:rPr>
              <w:t>, наприклад:</w:t>
            </w:r>
            <w:r>
              <w:rPr>
                <w:rFonts w:eastAsia="Times New Roman"/>
                <w:i/>
                <w:color w:val="008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i/>
                <w:color w:val="00B050"/>
                <w:sz w:val="20"/>
                <w:szCs w:val="20"/>
              </w:rPr>
              <w:t>Постановою НКРЕКП від 14 березня 2018 року N 308 «Про затвердження Правил ринку "на добу наперед" та внутрішньодобового ринку»</w:t>
            </w:r>
            <w:r>
              <w:rPr>
                <w:rFonts w:eastAsia="Times New Roman"/>
                <w:b/>
                <w:i/>
                <w:color w:val="008000"/>
                <w:sz w:val="20"/>
                <w:szCs w:val="20"/>
              </w:rPr>
              <w:t xml:space="preserve"> &gt;</w:t>
            </w:r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8B4B35" w:rsidRDefault="008B4B35" w:rsidP="008F3B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2" w:right="27" w:hanging="37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надання Бенефіціару можливості створення та подання до Банку засобами такої Системи інформації та електронних розрахункових документів (чи інших Платіжних інструментів у визначений законодавством спосіб), необхідних для ініціювання операцій за Рахунками ескроу;</w:t>
            </w:r>
          </w:p>
          <w:p w:rsidR="008B4B35" w:rsidRDefault="008B4B3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left="1052" w:right="-108" w:hanging="37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надання Бенефіціару інформації про рух коштів та залишки коштів по Рахунках ескроу; </w:t>
            </w:r>
          </w:p>
          <w:p w:rsidR="008B4B35" w:rsidRDefault="008B4B35" w:rsidP="008F3B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left="1052" w:right="27" w:hanging="37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надання інформації таємниці щодо Рахунків ескроу, у випадках та обсягах, необхідних для проведення перевірок діяльності</w:t>
            </w:r>
            <w:r>
              <w:rPr>
                <w:rFonts w:eastAsia="Times New Roman"/>
                <w:color w:val="000000"/>
                <w:sz w:val="20"/>
                <w:szCs w:val="20"/>
                <w:highlight w:val="white"/>
              </w:rPr>
              <w:t xml:space="preserve"> на ринку електричної енергії,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запитами Бенефіціара, Регулятора, аудитора, </w:t>
            </w:r>
            <w:r>
              <w:rPr>
                <w:rFonts w:eastAsia="Times New Roman"/>
                <w:color w:val="000000"/>
                <w:sz w:val="20"/>
                <w:szCs w:val="20"/>
                <w:highlight w:val="white"/>
              </w:rPr>
              <w:t xml:space="preserve">в тому числі для надання інформації суб’єктам господарювання або їх уповноваженим особам, на яких згідно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вимог законодавства та нормативних документів Регулятора</w:t>
            </w:r>
            <w:r>
              <w:rPr>
                <w:rFonts w:eastAsia="Times New Roman"/>
                <w:color w:val="000000"/>
                <w:sz w:val="20"/>
                <w:szCs w:val="20"/>
                <w:highlight w:val="white"/>
              </w:rPr>
              <w:t xml:space="preserve"> покладаються певні функції чи обов’язки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8B4B35" w:rsidRDefault="008B4B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7" w:hanging="5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Право розпорядження Рахунком ескроу здійснюється уповноваженими особами Бенефіціара, зазначеними в Переліку осіб, яким надано право розпорядження рахунками (Рахунки умовного зберігання (Рахунки ескроу), наданому Бенефіціару (або такого, що буде наданий в майбутньому), та не потребує додаткового погодження Клієнтом.</w:t>
            </w:r>
          </w:p>
          <w:p w:rsidR="008B4B35" w:rsidRDefault="008B4B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7" w:hanging="56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Доступ до Рахунку ескроу та право розпорядження коштами при здійсненні операцій за Рахунком ескроу надається Банком Бенефіціару на підставі Заяви-Дозволу Клієнта, що є Додатком №1 до Заяви на визначення послуг та є невід‘ємною його частиною, та  Заявки про підключення (внесення змін)/відключення Системи Банком, наданої Бенефіціаром (або такої, що буде надана в майбутньому), та не потребує додаткового погодження Клієнтом.  </w:t>
            </w:r>
          </w:p>
        </w:tc>
      </w:tr>
      <w:tr w:rsidR="008B4B35" w:rsidTr="004F6F8E">
        <w:trPr>
          <w:trHeight w:val="58"/>
        </w:trPr>
        <w:tc>
          <w:tcPr>
            <w:tcW w:w="25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B4B35" w:rsidRDefault="008B4B35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B4B35" w:rsidRDefault="008B4B35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B4B35" w:rsidRDefault="008B4B35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B4B35" w:rsidRDefault="008B4B35">
            <w:pPr>
              <w:tabs>
                <w:tab w:val="left" w:pos="77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B4B35" w:rsidRDefault="008B4B35">
            <w:pPr>
              <w:tabs>
                <w:tab w:val="left" w:pos="77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B4B35" w:rsidRDefault="008B4B35" w:rsidP="008F3B0D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B4B35" w:rsidRDefault="008B4B35" w:rsidP="008F3B0D">
            <w:pPr>
              <w:tabs>
                <w:tab w:val="left" w:pos="7740"/>
              </w:tabs>
              <w:ind w:left="-260"/>
              <w:jc w:val="right"/>
              <w:rPr>
                <w:sz w:val="20"/>
                <w:szCs w:val="20"/>
              </w:rPr>
            </w:pPr>
          </w:p>
        </w:tc>
      </w:tr>
      <w:tr w:rsidR="008B4B35" w:rsidTr="004F6F8E">
        <w:trPr>
          <w:trHeight w:val="1384"/>
        </w:trPr>
        <w:tc>
          <w:tcPr>
            <w:tcW w:w="250" w:type="dxa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B4B35" w:rsidRDefault="008B4B35">
            <w:pPr>
              <w:tabs>
                <w:tab w:val="left" w:pos="7740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65" w:type="dxa"/>
            <w:gridSpan w:val="9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B4B35" w:rsidRPr="008F3B0D" w:rsidRDefault="008B4B35" w:rsidP="008F3B0D">
            <w:pPr>
              <w:pStyle w:val="af7"/>
              <w:numPr>
                <w:ilvl w:val="0"/>
                <w:numId w:val="1"/>
              </w:num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F3B0D">
              <w:rPr>
                <w:b/>
                <w:sz w:val="20"/>
                <w:szCs w:val="20"/>
              </w:rPr>
              <w:t xml:space="preserve">ВІДМІТКИ КЛІЄНТА </w:t>
            </w:r>
            <w:r w:rsidR="008F3B0D" w:rsidRPr="008F3B0D">
              <w:rPr>
                <w:b/>
                <w:sz w:val="20"/>
                <w:szCs w:val="20"/>
                <w:lang w:val="uk-UA"/>
              </w:rPr>
              <w:t>та БАНКУ</w:t>
            </w:r>
          </w:p>
          <w:p w:rsidR="008F3B0D" w:rsidRDefault="008F3B0D" w:rsidP="008F3B0D">
            <w:pPr>
              <w:tabs>
                <w:tab w:val="left" w:pos="7740"/>
              </w:tabs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Клієнт:</w:t>
            </w:r>
          </w:p>
          <w:p w:rsidR="008F3B0D" w:rsidRPr="008F3B0D" w:rsidRDefault="008F3B0D" w:rsidP="008F3B0D">
            <w:pPr>
              <w:pStyle w:val="af7"/>
              <w:tabs>
                <w:tab w:val="left" w:pos="7740"/>
              </w:tabs>
              <w:ind w:left="610"/>
              <w:rPr>
                <w:b/>
                <w:sz w:val="20"/>
                <w:szCs w:val="20"/>
                <w:lang w:val="uk-UA"/>
              </w:rPr>
            </w:pPr>
          </w:p>
          <w:p w:rsidR="008B4B35" w:rsidRDefault="008B4B35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  <w:p w:rsidR="008B4B35" w:rsidRDefault="008B4B3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       _______________             ______________________________</w:t>
            </w:r>
          </w:p>
          <w:p w:rsidR="008B4B35" w:rsidRDefault="008B4B3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(посада)                                        (підпис/ЕП)                                     (прізвище та ініціали) </w:t>
            </w:r>
          </w:p>
          <w:p w:rsidR="008B4B35" w:rsidRDefault="008B4B3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МП </w:t>
            </w:r>
            <w:r>
              <w:rPr>
                <w:i/>
                <w:color w:val="00B050"/>
                <w:sz w:val="18"/>
                <w:szCs w:val="18"/>
              </w:rPr>
              <w:t>(за наявності)</w:t>
            </w:r>
          </w:p>
          <w:p w:rsidR="008B4B35" w:rsidRDefault="008B4B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8B4B35" w:rsidRDefault="008B4B35" w:rsidP="008F3B0D">
            <w:pPr>
              <w:ind w:left="-220"/>
              <w:jc w:val="center"/>
              <w:rPr>
                <w:i/>
                <w:sz w:val="18"/>
                <w:szCs w:val="18"/>
              </w:rPr>
            </w:pPr>
          </w:p>
        </w:tc>
      </w:tr>
      <w:tr w:rsidR="008F3B0D" w:rsidTr="004F6F8E">
        <w:trPr>
          <w:trHeight w:val="397"/>
        </w:trPr>
        <w:tc>
          <w:tcPr>
            <w:tcW w:w="250" w:type="dxa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F3B0D" w:rsidRDefault="008F3B0D">
            <w:pPr>
              <w:tabs>
                <w:tab w:val="left" w:pos="7740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65" w:type="dxa"/>
            <w:gridSpan w:val="9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F3B0D" w:rsidRPr="008F3B0D" w:rsidRDefault="008F3B0D" w:rsidP="008F3B0D">
            <w:pPr>
              <w:tabs>
                <w:tab w:val="left" w:pos="4655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8F3B0D">
              <w:rPr>
                <w:b/>
                <w:color w:val="000000"/>
                <w:sz w:val="20"/>
                <w:szCs w:val="20"/>
                <w:lang w:val="uk-UA"/>
              </w:rPr>
              <w:t>БАНК:</w:t>
            </w:r>
          </w:p>
          <w:p w:rsidR="008F3B0D" w:rsidRDefault="008F3B0D" w:rsidP="008F3B0D">
            <w:pPr>
              <w:tabs>
                <w:tab w:val="left" w:pos="7740"/>
              </w:tabs>
              <w:jc w:val="both"/>
              <w:rPr>
                <w:color w:val="000000"/>
                <w:sz w:val="20"/>
                <w:szCs w:val="20"/>
              </w:rPr>
            </w:pPr>
            <w:r w:rsidRPr="008F3B0D">
              <w:rPr>
                <w:color w:val="000000"/>
                <w:sz w:val="20"/>
                <w:szCs w:val="20"/>
              </w:rPr>
              <w:t>Відкрити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8F3B0D">
              <w:rPr>
                <w:color w:val="000000"/>
                <w:sz w:val="20"/>
                <w:szCs w:val="20"/>
              </w:rPr>
              <w:t xml:space="preserve">поточний рахунок /розрахунковий рахунок/ окремий рахунок зі спеціальним режимом використання </w:t>
            </w:r>
            <w:r w:rsidRPr="008F3B0D">
              <w:rPr>
                <w:i/>
                <w:color w:val="00B050"/>
                <w:sz w:val="20"/>
                <w:szCs w:val="20"/>
              </w:rPr>
              <w:t>(необхідно зазначити вид рахунку)</w:t>
            </w:r>
            <w:r w:rsidRPr="008F3B0D">
              <w:rPr>
                <w:color w:val="000000"/>
                <w:sz w:val="20"/>
                <w:szCs w:val="20"/>
              </w:rPr>
              <w:t>, дозволяю.</w:t>
            </w:r>
          </w:p>
          <w:p w:rsidR="008F3B0D" w:rsidRPr="008F3B0D" w:rsidRDefault="008F3B0D" w:rsidP="008F3B0D">
            <w:pPr>
              <w:tabs>
                <w:tab w:val="left" w:pos="774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8F3B0D" w:rsidRDefault="008F3B0D" w:rsidP="008F3B0D">
            <w:pPr>
              <w:ind w:left="-220"/>
              <w:jc w:val="center"/>
              <w:rPr>
                <w:i/>
                <w:sz w:val="18"/>
                <w:szCs w:val="18"/>
              </w:rPr>
            </w:pPr>
          </w:p>
        </w:tc>
      </w:tr>
      <w:tr w:rsidR="008F3B0D" w:rsidTr="004F6F8E">
        <w:trPr>
          <w:trHeight w:val="195"/>
        </w:trPr>
        <w:tc>
          <w:tcPr>
            <w:tcW w:w="25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3B0D" w:rsidRDefault="008F3B0D" w:rsidP="0062614E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  <w:p w:rsidR="008F3B0D" w:rsidRDefault="008F3B0D" w:rsidP="0062614E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  <w:p w:rsidR="008F3B0D" w:rsidRDefault="008F3B0D" w:rsidP="0062614E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F3B0D" w:rsidRDefault="008F3B0D" w:rsidP="0062614E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3B0D" w:rsidRDefault="008F3B0D" w:rsidP="0062614E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F3B0D" w:rsidRDefault="008F3B0D" w:rsidP="0062614E">
            <w:pPr>
              <w:tabs>
                <w:tab w:val="left" w:pos="77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3B0D" w:rsidRDefault="008F3B0D" w:rsidP="0062614E">
            <w:pPr>
              <w:tabs>
                <w:tab w:val="left" w:pos="77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F3B0D" w:rsidRDefault="008F3B0D" w:rsidP="0062614E">
            <w:pPr>
              <w:tabs>
                <w:tab w:val="left" w:pos="77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F3B0D" w:rsidRDefault="008F3B0D" w:rsidP="0062614E">
            <w:pPr>
              <w:tabs>
                <w:tab w:val="left" w:pos="7740"/>
              </w:tabs>
              <w:jc w:val="right"/>
              <w:rPr>
                <w:sz w:val="20"/>
                <w:szCs w:val="20"/>
              </w:rPr>
            </w:pPr>
          </w:p>
        </w:tc>
      </w:tr>
      <w:tr w:rsidR="008F3B0D" w:rsidTr="004F6F8E">
        <w:trPr>
          <w:trHeight w:val="51"/>
        </w:trPr>
        <w:tc>
          <w:tcPr>
            <w:tcW w:w="250" w:type="dxa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F3B0D" w:rsidRDefault="008F3B0D" w:rsidP="0062614E">
            <w:pPr>
              <w:tabs>
                <w:tab w:val="left" w:pos="7740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F3B0D" w:rsidRDefault="008F3B0D" w:rsidP="0062614E">
            <w:pPr>
              <w:tabs>
                <w:tab w:val="left" w:pos="7740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(Керівник (уповноважена керівником особа)</w:t>
            </w:r>
          </w:p>
        </w:tc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F3B0D" w:rsidRDefault="008F3B0D" w:rsidP="0062614E">
            <w:pPr>
              <w:tabs>
                <w:tab w:val="left" w:pos="7740"/>
              </w:tabs>
              <w:jc w:val="center"/>
              <w:rPr>
                <w:i/>
                <w:sz w:val="18"/>
                <w:szCs w:val="18"/>
              </w:rPr>
            </w:pPr>
          </w:p>
          <w:p w:rsidR="008F3B0D" w:rsidRDefault="008F3B0D" w:rsidP="0062614E">
            <w:pPr>
              <w:tabs>
                <w:tab w:val="left" w:pos="7740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F3B0D" w:rsidRDefault="008F3B0D" w:rsidP="0062614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(підпис</w:t>
            </w:r>
            <w:r>
              <w:rPr>
                <w:i/>
                <w:sz w:val="16"/>
                <w:szCs w:val="16"/>
              </w:rPr>
              <w:t>/ЕП</w:t>
            </w:r>
            <w:r>
              <w:rPr>
                <w:i/>
                <w:sz w:val="18"/>
                <w:szCs w:val="18"/>
              </w:rPr>
              <w:t>)</w:t>
            </w:r>
          </w:p>
          <w:p w:rsidR="008F3B0D" w:rsidRDefault="008F3B0D" w:rsidP="0062614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8F3B0D" w:rsidRDefault="008F3B0D" w:rsidP="006261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F3B0D" w:rsidRDefault="008F3B0D" w:rsidP="0062614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(Прізвище та ініціали)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8F3B0D" w:rsidRDefault="008F3B0D" w:rsidP="0062614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3B0D" w:rsidTr="004F6F8E">
        <w:trPr>
          <w:trHeight w:val="662"/>
        </w:trPr>
        <w:tc>
          <w:tcPr>
            <w:tcW w:w="11199" w:type="dxa"/>
            <w:gridSpan w:val="11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</w:tcPr>
          <w:p w:rsidR="003B021C" w:rsidRDefault="008F3B0D" w:rsidP="000C63F5">
            <w:pPr>
              <w:tabs>
                <w:tab w:val="left" w:pos="7740"/>
              </w:tabs>
              <w:ind w:hanging="2"/>
              <w:jc w:val="center"/>
              <w:rPr>
                <w:i/>
                <w:color w:val="00B050"/>
                <w:sz w:val="16"/>
                <w:szCs w:val="16"/>
              </w:rPr>
            </w:pPr>
            <w:r w:rsidRPr="004F6F8E">
              <w:rPr>
                <w:b/>
                <w:i/>
                <w:color w:val="00B050"/>
                <w:sz w:val="20"/>
                <w:szCs w:val="20"/>
              </w:rPr>
              <w:t xml:space="preserve">&lt;якщо підписання </w:t>
            </w:r>
            <w:r w:rsidRPr="004F6F8E">
              <w:rPr>
                <w:b/>
                <w:i/>
                <w:color w:val="00B050"/>
                <w:sz w:val="20"/>
                <w:szCs w:val="20"/>
                <w:lang w:val="uk-UA"/>
              </w:rPr>
              <w:t>Заяви на визначення послуг</w:t>
            </w:r>
            <w:r w:rsidRPr="004F6F8E">
              <w:rPr>
                <w:b/>
                <w:i/>
                <w:color w:val="00B050"/>
                <w:sz w:val="20"/>
                <w:szCs w:val="20"/>
              </w:rPr>
              <w:t xml:space="preserve"> здійснюється кваліфіковани</w:t>
            </w:r>
            <w:r w:rsidR="00C84D8A" w:rsidRPr="004F6F8E">
              <w:rPr>
                <w:b/>
                <w:i/>
                <w:color w:val="00B050"/>
                <w:sz w:val="20"/>
                <w:szCs w:val="20"/>
              </w:rPr>
              <w:t xml:space="preserve">м електронним підписом в т.ч. з </w:t>
            </w:r>
            <w:r w:rsidRPr="004F6F8E">
              <w:rPr>
                <w:b/>
                <w:i/>
                <w:color w:val="00B050"/>
                <w:sz w:val="20"/>
                <w:szCs w:val="20"/>
              </w:rPr>
              <w:t xml:space="preserve">використанням процедури віддаленої ідентифікації та відеоверифікації Клієнта цей розділ оформлюється та друкується </w:t>
            </w:r>
            <w:r w:rsidRPr="0076753E">
              <w:rPr>
                <w:b/>
                <w:i/>
                <w:color w:val="00B050"/>
                <w:sz w:val="20"/>
                <w:szCs w:val="20"/>
              </w:rPr>
              <w:t>окремо</w:t>
            </w:r>
            <w:r w:rsidR="003B021C" w:rsidRPr="000C63F5">
              <w:rPr>
                <w:b/>
                <w:i/>
                <w:color w:val="00B050"/>
                <w:sz w:val="16"/>
                <w:szCs w:val="16"/>
              </w:rPr>
              <w:t>&gt;</w:t>
            </w:r>
          </w:p>
          <w:p w:rsidR="008F3B0D" w:rsidRPr="004F6F8E" w:rsidRDefault="008F3B0D" w:rsidP="000C63F5">
            <w:pPr>
              <w:tabs>
                <w:tab w:val="left" w:pos="7740"/>
              </w:tabs>
              <w:ind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4F6F8E">
              <w:rPr>
                <w:b/>
                <w:sz w:val="20"/>
                <w:szCs w:val="20"/>
              </w:rPr>
              <w:t>5. Відмітки банку</w:t>
            </w:r>
          </w:p>
          <w:p w:rsidR="008F3B0D" w:rsidRPr="004F6F8E" w:rsidRDefault="008F3B0D" w:rsidP="008F3B0D">
            <w:pPr>
              <w:tabs>
                <w:tab w:val="left" w:pos="7740"/>
              </w:tabs>
              <w:rPr>
                <w:sz w:val="20"/>
                <w:szCs w:val="20"/>
              </w:rPr>
            </w:pPr>
            <w:r w:rsidRPr="004F6F8E">
              <w:rPr>
                <w:sz w:val="20"/>
                <w:szCs w:val="20"/>
              </w:rPr>
              <w:t>Заяву на визначення послуг до Договору прийняв, документи на відкриття Рахунку(ів) перевірив.</w:t>
            </w:r>
          </w:p>
          <w:p w:rsidR="008F3B0D" w:rsidRPr="004F6F8E" w:rsidRDefault="008F3B0D" w:rsidP="008F3B0D">
            <w:pPr>
              <w:jc w:val="both"/>
              <w:rPr>
                <w:i/>
                <w:color w:val="00B050"/>
                <w:sz w:val="20"/>
                <w:szCs w:val="20"/>
              </w:rPr>
            </w:pPr>
            <w:r w:rsidRPr="004F6F8E">
              <w:rPr>
                <w:i/>
                <w:color w:val="00B050"/>
                <w:sz w:val="20"/>
                <w:szCs w:val="20"/>
              </w:rPr>
              <w:t>&lt;якщо Клієнт відкриває рахунок умовного зберігання (ескроу) (далі – Рахунок ескроу) для здійснення операцій згідно Закону України «Про ринок електричної енергії»  , додатково доповнити:</w:t>
            </w:r>
          </w:p>
          <w:p w:rsidR="008F3B0D" w:rsidRPr="004F6F8E" w:rsidRDefault="008F3B0D" w:rsidP="008F3B0D">
            <w:pPr>
              <w:tabs>
                <w:tab w:val="left" w:pos="7740"/>
              </w:tabs>
              <w:rPr>
                <w:sz w:val="20"/>
                <w:szCs w:val="20"/>
              </w:rPr>
            </w:pPr>
            <w:r w:rsidRPr="004F6F8E">
              <w:rPr>
                <w:sz w:val="20"/>
                <w:szCs w:val="20"/>
              </w:rPr>
              <w:t xml:space="preserve">Статус Клієнта, як Учасника ринку електричної енергії </w:t>
            </w:r>
            <w:r w:rsidRPr="004F6F8E">
              <w:rPr>
                <w:i/>
                <w:color w:val="008000"/>
                <w:sz w:val="20"/>
                <w:szCs w:val="20"/>
              </w:rPr>
              <w:t>(зазначити вид ринку/аукціону, наприклад):</w:t>
            </w:r>
            <w:r w:rsidRPr="004F6F8E">
              <w:rPr>
                <w:i/>
                <w:color w:val="00B050"/>
                <w:sz w:val="20"/>
                <w:szCs w:val="20"/>
              </w:rPr>
              <w:t xml:space="preserve"> РДН/ВДР</w:t>
            </w:r>
            <w:r w:rsidRPr="004F6F8E">
              <w:rPr>
                <w:sz w:val="20"/>
                <w:szCs w:val="20"/>
              </w:rPr>
              <w:t xml:space="preserve">, що підтверджено </w:t>
            </w:r>
            <w:r w:rsidRPr="004F6F8E">
              <w:rPr>
                <w:i/>
                <w:color w:val="008000"/>
                <w:sz w:val="20"/>
                <w:szCs w:val="20"/>
              </w:rPr>
              <w:t>(зазначити ким, яким чином, наприклад):</w:t>
            </w:r>
            <w:r w:rsidRPr="004F6F8E">
              <w:rPr>
                <w:i/>
                <w:color w:val="00B050"/>
                <w:sz w:val="20"/>
                <w:szCs w:val="20"/>
              </w:rPr>
              <w:t xml:space="preserve"> Оператором ринку шляхом внесення до реєстру Учасників РДН/ВДР, оприлюдненому Оператором ринку на власному вебсайті</w:t>
            </w:r>
            <w:r w:rsidRPr="004F6F8E">
              <w:rPr>
                <w:sz w:val="20"/>
                <w:szCs w:val="20"/>
              </w:rPr>
              <w:t>, перевірив.</w:t>
            </w:r>
          </w:p>
          <w:p w:rsidR="008F3B0D" w:rsidRPr="004F6F8E" w:rsidRDefault="008F3B0D" w:rsidP="008F3B0D">
            <w:pPr>
              <w:tabs>
                <w:tab w:val="left" w:pos="7740"/>
              </w:tabs>
              <w:rPr>
                <w:sz w:val="20"/>
                <w:szCs w:val="20"/>
              </w:rPr>
            </w:pPr>
            <w:r w:rsidRPr="004F6F8E">
              <w:rPr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0D323113" wp14:editId="59916C1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45720</wp:posOffset>
                      </wp:positionV>
                      <wp:extent cx="3020060" cy="606425"/>
                      <wp:effectExtent l="0" t="0" r="0" b="0"/>
                      <wp:wrapSquare wrapText="bothSides" distT="45720" distB="45720" distL="114300" distR="114300"/>
                      <wp:docPr id="218" name="Прямоугольник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0733" y="3481550"/>
                                <a:ext cx="3010535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F3B0D" w:rsidRDefault="008F3B0D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i/>
                                      <w:color w:val="000000"/>
                                      <w:sz w:val="16"/>
                                    </w:rPr>
                                    <w:t>відтиск штампа виконавця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323113" id="Прямоугольник 218" o:spid="_x0000_s1026" style="position:absolute;margin-left:0;margin-top:3.6pt;width:237.8pt;height:47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8F3B0D" w:rsidRDefault="008F3B0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16"/>
                              </w:rPr>
                              <w:t>відтиск штампа виконавця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8F3B0D" w:rsidRPr="004F6F8E" w:rsidRDefault="008F3B0D" w:rsidP="008F3B0D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  <w:p w:rsidR="008F3B0D" w:rsidRPr="002F44C6" w:rsidRDefault="008F3B0D" w:rsidP="008F3B0D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  <w:p w:rsidR="008F3B0D" w:rsidRPr="00C84D8A" w:rsidRDefault="008F3B0D" w:rsidP="008F3B0D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  <w:p w:rsidR="008F3B0D" w:rsidRPr="00C84D8A" w:rsidRDefault="008F3B0D" w:rsidP="008F3B0D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  <w:p w:rsidR="008F3B0D" w:rsidRPr="00C84D8A" w:rsidRDefault="008F3B0D" w:rsidP="008F3B0D">
            <w:pPr>
              <w:tabs>
                <w:tab w:val="left" w:pos="7740"/>
              </w:tabs>
              <w:rPr>
                <w:sz w:val="20"/>
                <w:szCs w:val="20"/>
              </w:rPr>
            </w:pPr>
            <w:r w:rsidRPr="00C84D8A">
              <w:rPr>
                <w:sz w:val="20"/>
                <w:szCs w:val="20"/>
              </w:rPr>
              <w:t>__________________________________          _______________________      ____________      ________________________</w:t>
            </w:r>
          </w:p>
          <w:p w:rsidR="008F3B0D" w:rsidRPr="004F6F8E" w:rsidRDefault="008F3B0D" w:rsidP="008F3B0D">
            <w:pPr>
              <w:rPr>
                <w:i/>
                <w:color w:val="00B0F0"/>
                <w:sz w:val="18"/>
                <w:szCs w:val="18"/>
              </w:rPr>
            </w:pPr>
            <w:r w:rsidRPr="004F6F8E">
              <w:rPr>
                <w:i/>
                <w:sz w:val="20"/>
                <w:szCs w:val="20"/>
              </w:rPr>
              <w:t>(</w:t>
            </w:r>
            <w:r w:rsidRPr="004F6F8E">
              <w:rPr>
                <w:i/>
                <w:sz w:val="18"/>
                <w:szCs w:val="18"/>
              </w:rPr>
              <w:t>Посада уповноваженої особи, на яку покладено                                          (підпис/ЕП)                                          (Прізвище та ініціали</w:t>
            </w:r>
            <w:r w:rsidRPr="004F6F8E">
              <w:rPr>
                <w:i/>
                <w:color w:val="00B0F0"/>
                <w:sz w:val="18"/>
                <w:szCs w:val="18"/>
              </w:rPr>
              <w:t xml:space="preserve">)         </w:t>
            </w:r>
          </w:p>
          <w:p w:rsidR="008F3B0D" w:rsidRPr="004F6F8E" w:rsidRDefault="008F3B0D" w:rsidP="008F3B0D">
            <w:pPr>
              <w:tabs>
                <w:tab w:val="left" w:pos="7740"/>
              </w:tabs>
              <w:rPr>
                <w:sz w:val="18"/>
                <w:szCs w:val="18"/>
              </w:rPr>
            </w:pPr>
            <w:r w:rsidRPr="004F6F8E">
              <w:rPr>
                <w:i/>
                <w:sz w:val="18"/>
                <w:szCs w:val="18"/>
              </w:rPr>
              <w:t xml:space="preserve">обов'язок відкривати рахунки клієнтів)              </w:t>
            </w:r>
          </w:p>
          <w:p w:rsidR="008F3B0D" w:rsidRPr="004F6F8E" w:rsidRDefault="008F3B0D" w:rsidP="008F3B0D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  <w:p w:rsidR="008F3B0D" w:rsidRPr="004F6F8E" w:rsidRDefault="008F3B0D" w:rsidP="008F3B0D">
            <w:pPr>
              <w:tabs>
                <w:tab w:val="left" w:pos="7740"/>
              </w:tabs>
              <w:rPr>
                <w:sz w:val="20"/>
                <w:szCs w:val="20"/>
              </w:rPr>
            </w:pPr>
            <w:r w:rsidRPr="004F6F8E">
              <w:rPr>
                <w:sz w:val="20"/>
                <w:szCs w:val="20"/>
              </w:rPr>
              <w:t xml:space="preserve">           </w:t>
            </w:r>
          </w:p>
        </w:tc>
      </w:tr>
      <w:tr w:rsidR="008F3B0D" w:rsidTr="00C90AB6"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B0D" w:rsidRDefault="008F3B0D" w:rsidP="008F3B0D">
            <w:pPr>
              <w:rPr>
                <w:b/>
                <w:sz w:val="22"/>
                <w:szCs w:val="22"/>
              </w:rPr>
            </w:pPr>
          </w:p>
        </w:tc>
        <w:tc>
          <w:tcPr>
            <w:tcW w:w="5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53E" w:rsidRDefault="0076753E" w:rsidP="008F3B0D">
            <w:pPr>
              <w:jc w:val="right"/>
              <w:rPr>
                <w:b/>
                <w:sz w:val="20"/>
                <w:szCs w:val="20"/>
              </w:rPr>
            </w:pPr>
          </w:p>
          <w:p w:rsidR="008F3B0D" w:rsidRDefault="008F3B0D" w:rsidP="008F3B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Додаток №1 </w:t>
            </w:r>
          </w:p>
          <w:p w:rsidR="008F3B0D" w:rsidRDefault="008F3B0D" w:rsidP="008F3B0D">
            <w:pPr>
              <w:widowControl w:val="0"/>
              <w:ind w:right="177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Заяви на визначення послуг до Договору комплексного банківського обслуговування №________________________  від __.__.20__р.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> (</w:t>
            </w:r>
            <w:r>
              <w:rPr>
                <w:b/>
                <w:i/>
                <w:sz w:val="20"/>
                <w:szCs w:val="20"/>
              </w:rPr>
              <w:t>оформлюється тільки для рахунків ескроу, що відкриваються для участі на ринку електричної енергії)</w:t>
            </w:r>
          </w:p>
          <w:p w:rsidR="008F3B0D" w:rsidRDefault="008F3B0D" w:rsidP="008F3B0D">
            <w:pPr>
              <w:rPr>
                <w:b/>
                <w:sz w:val="22"/>
                <w:szCs w:val="22"/>
              </w:rPr>
            </w:pPr>
          </w:p>
        </w:tc>
      </w:tr>
    </w:tbl>
    <w:p w:rsidR="00396C70" w:rsidRDefault="006759B9">
      <w:pPr>
        <w:widowControl w:val="0"/>
        <w:ind w:left="467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Кому: АБ «УКРГАЗБАНК»</w:t>
      </w:r>
    </w:p>
    <w:p w:rsidR="00396C70" w:rsidRDefault="006759B9">
      <w:pPr>
        <w:widowControl w:val="0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396C70" w:rsidRDefault="006759B9">
      <w:pPr>
        <w:widowControl w:val="0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396C70" w:rsidRDefault="006759B9">
      <w:pPr>
        <w:widowControl w:val="0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396C70" w:rsidRDefault="00396C70">
      <w:pPr>
        <w:widowControl w:val="0"/>
        <w:ind w:firstLine="708"/>
        <w:jc w:val="both"/>
        <w:rPr>
          <w:sz w:val="22"/>
          <w:szCs w:val="22"/>
        </w:rPr>
      </w:pPr>
    </w:p>
    <w:tbl>
      <w:tblPr>
        <w:tblStyle w:val="aff"/>
        <w:tblW w:w="113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60"/>
        <w:gridCol w:w="8680"/>
      </w:tblGrid>
      <w:tr w:rsidR="00396C70">
        <w:tc>
          <w:tcPr>
            <w:tcW w:w="2660" w:type="dxa"/>
            <w:shd w:val="clear" w:color="auto" w:fill="auto"/>
          </w:tcPr>
          <w:p w:rsidR="00396C70" w:rsidRDefault="006759B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місто ______,  Україна</w:t>
            </w:r>
          </w:p>
        </w:tc>
        <w:tc>
          <w:tcPr>
            <w:tcW w:w="8680" w:type="dxa"/>
            <w:shd w:val="clear" w:color="auto" w:fill="auto"/>
          </w:tcPr>
          <w:p w:rsidR="00396C70" w:rsidRDefault="006759B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року</w:t>
            </w:r>
          </w:p>
        </w:tc>
      </w:tr>
    </w:tbl>
    <w:p w:rsidR="00396C70" w:rsidRDefault="006759B9">
      <w:pPr>
        <w:keepNext/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ЗАЯВА – ДОЗВІЛ</w:t>
      </w:r>
    </w:p>
    <w:tbl>
      <w:tblPr>
        <w:tblStyle w:val="aff0"/>
        <w:tblW w:w="11226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3543"/>
        <w:gridCol w:w="7683"/>
      </w:tblGrid>
      <w:tr w:rsidR="00396C70">
        <w:tc>
          <w:tcPr>
            <w:tcW w:w="3543" w:type="dxa"/>
          </w:tcPr>
          <w:p w:rsidR="00396C70" w:rsidRDefault="00396C70">
            <w:pPr>
              <w:widowControl w:val="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96C70" w:rsidRDefault="006759B9">
            <w:pPr>
              <w:widowControl w:val="0"/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Найменування Клієнта</w:t>
            </w:r>
          </w:p>
        </w:tc>
        <w:tc>
          <w:tcPr>
            <w:tcW w:w="7683" w:type="dxa"/>
          </w:tcPr>
          <w:p w:rsidR="00396C70" w:rsidRDefault="00396C70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396C70" w:rsidRDefault="00396C7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396C70">
        <w:tc>
          <w:tcPr>
            <w:tcW w:w="3543" w:type="dxa"/>
          </w:tcPr>
          <w:p w:rsidR="00396C70" w:rsidRDefault="00396C7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683" w:type="dxa"/>
          </w:tcPr>
          <w:p w:rsidR="00396C70" w:rsidRDefault="006759B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(повне найменування Клієнта)</w:t>
            </w:r>
          </w:p>
        </w:tc>
      </w:tr>
      <w:tr w:rsidR="00396C70">
        <w:tc>
          <w:tcPr>
            <w:tcW w:w="3543" w:type="dxa"/>
          </w:tcPr>
          <w:p w:rsidR="00396C70" w:rsidRDefault="006759B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ЄДРПОУ</w:t>
            </w:r>
          </w:p>
        </w:tc>
        <w:tc>
          <w:tcPr>
            <w:tcW w:w="7683" w:type="dxa"/>
          </w:tcPr>
          <w:p w:rsidR="00396C70" w:rsidRDefault="006759B9">
            <w:pPr>
              <w:widowControl w:val="0"/>
              <w:ind w:left="-2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</w:tc>
      </w:tr>
      <w:tr w:rsidR="00396C70">
        <w:tc>
          <w:tcPr>
            <w:tcW w:w="3543" w:type="dxa"/>
          </w:tcPr>
          <w:p w:rsidR="00396C70" w:rsidRDefault="006759B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рахунку умовного зберігання (ескроу) для здійснення операцій згідно Закону України «Про ринок електричної енергії»</w:t>
            </w:r>
          </w:p>
        </w:tc>
        <w:tc>
          <w:tcPr>
            <w:tcW w:w="7683" w:type="dxa"/>
          </w:tcPr>
          <w:p w:rsidR="00396C70" w:rsidRDefault="00396C70">
            <w:pPr>
              <w:widowControl w:val="0"/>
              <w:ind w:left="-2175"/>
              <w:jc w:val="both"/>
              <w:rPr>
                <w:sz w:val="22"/>
                <w:szCs w:val="22"/>
              </w:rPr>
            </w:pPr>
          </w:p>
        </w:tc>
      </w:tr>
    </w:tbl>
    <w:p w:rsidR="00396C70" w:rsidRDefault="00396C70">
      <w:pPr>
        <w:widowControl w:val="0"/>
        <w:jc w:val="both"/>
        <w:rPr>
          <w:sz w:val="22"/>
          <w:szCs w:val="22"/>
        </w:rPr>
      </w:pPr>
    </w:p>
    <w:p w:rsidR="00396C70" w:rsidRDefault="00396C70">
      <w:pPr>
        <w:widowControl w:val="0"/>
        <w:ind w:left="426" w:right="227" w:firstLine="708"/>
        <w:jc w:val="both"/>
        <w:rPr>
          <w:b/>
          <w:sz w:val="22"/>
          <w:szCs w:val="22"/>
        </w:rPr>
      </w:pPr>
    </w:p>
    <w:p w:rsidR="00396C70" w:rsidRDefault="006759B9">
      <w:pPr>
        <w:widowControl w:val="0"/>
        <w:ind w:left="426" w:righ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З метою забезпечення розрахунків за рахунком умовного зберігання (ескроу) №____________, відкритим в АБ «УКРГАЗБАНК», код банку 320478, (далі – Рахунок ескроу), відповідно до Закону України «Про ринок електричної енергії</w:t>
      </w:r>
      <w:r>
        <w:rPr>
          <w:b/>
          <w:i/>
          <w:color w:val="008000"/>
          <w:sz w:val="22"/>
          <w:szCs w:val="22"/>
        </w:rPr>
        <w:t>&lt;</w:t>
      </w:r>
      <w:r>
        <w:rPr>
          <w:i/>
          <w:color w:val="008000"/>
          <w:sz w:val="22"/>
          <w:szCs w:val="22"/>
        </w:rPr>
        <w:t xml:space="preserve">зазначити нормативний документ, що регулює проведення операцій на ринку/аукціоні, наприклад: Правил ринку «на добу наперед» та внутрішньодобового ринку, затверджених постановою </w:t>
      </w:r>
      <w:r>
        <w:rPr>
          <w:i/>
          <w:color w:val="008000"/>
          <w:sz w:val="22"/>
          <w:szCs w:val="22"/>
        </w:rPr>
        <w:lastRenderedPageBreak/>
        <w:t>Національної комісії, що здійснює державне регулювання у сферах енергетики та комунальних послуг, від 14 березня 2018 року № 308</w:t>
      </w:r>
      <w:r>
        <w:rPr>
          <w:sz w:val="22"/>
          <w:szCs w:val="22"/>
        </w:rPr>
        <w:t xml:space="preserve"> (далі - Правила), в межах та на умовах,</w:t>
      </w:r>
      <w:r>
        <w:rPr>
          <w:rFonts w:ascii="Journal" w:eastAsia="Journal" w:hAnsi="Journal" w:cs="Journal"/>
          <w:sz w:val="22"/>
          <w:szCs w:val="22"/>
        </w:rPr>
        <w:t xml:space="preserve"> </w:t>
      </w:r>
      <w:r>
        <w:rPr>
          <w:sz w:val="22"/>
          <w:szCs w:val="22"/>
        </w:rPr>
        <w:t>визначеними Договором комплексного банківського обслуговування № _______від __.__.20__р. (далі –Договір), договором АБ «УКРГАЗБАНК» з Бенефіціаром, нормативними документами Національної комісії, що здійснює державне регулювання у сферах енергетики та комунальних послуг (далі – Регулятор) та/або Бенефіціара надаю дозвіл АБ «УКРГАЗБАНК» на розкриття банківської таємниці Бенефіціару за Рахунком ескроу.</w:t>
      </w:r>
    </w:p>
    <w:p w:rsidR="00396C70" w:rsidRDefault="006759B9">
      <w:pPr>
        <w:widowControl w:val="0"/>
        <w:ind w:left="426" w:righ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цього доручаю АБ «УКРГАЗБАНК» (надалі також – Банк) та надаю йому право на:</w:t>
      </w:r>
    </w:p>
    <w:p w:rsidR="00396C70" w:rsidRDefault="006759B9">
      <w:pPr>
        <w:widowControl w:val="0"/>
        <w:numPr>
          <w:ilvl w:val="0"/>
          <w:numId w:val="7"/>
        </w:numPr>
        <w:tabs>
          <w:tab w:val="left" w:pos="851"/>
        </w:tabs>
        <w:ind w:left="426" w:right="227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надання Бенефіціару інформації щодо Рахунку ескроу</w:t>
      </w:r>
      <w:r>
        <w:rPr>
          <w:sz w:val="22"/>
          <w:szCs w:val="22"/>
        </w:rPr>
        <w:t>, каналами зв‘язку, визначеними Договором, договором Банку з Бенефіціаром, нормативними документами Регулятора та/або Бенефіціара;</w:t>
      </w:r>
    </w:p>
    <w:p w:rsidR="00396C70" w:rsidRDefault="006759B9">
      <w:pPr>
        <w:widowControl w:val="0"/>
        <w:numPr>
          <w:ilvl w:val="0"/>
          <w:numId w:val="7"/>
        </w:numPr>
        <w:tabs>
          <w:tab w:val="left" w:pos="851"/>
        </w:tabs>
        <w:ind w:left="426" w:righ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надання Бенефіціару доступу до Рахунку ескроу засобами Системи в обсязі, на умовах та в спосіб, передбачений Договором, договором Банку з Бенефіціаром, нормативними документами Регулятора та/або Бенефіціара, в тому числі доступ до перегляду Рахунку ескроу Клієнта в будь-який час без обмежень та право отримувати будь-яку іншу інформацію щодо Рахунку ескроу для належного виконання ним своїх зобов’язань відповідно до вимог Правил;</w:t>
      </w:r>
    </w:p>
    <w:p w:rsidR="00396C70" w:rsidRDefault="006759B9">
      <w:pPr>
        <w:widowControl w:val="0"/>
        <w:numPr>
          <w:ilvl w:val="0"/>
          <w:numId w:val="7"/>
        </w:numPr>
        <w:tabs>
          <w:tab w:val="left" w:pos="851"/>
        </w:tabs>
        <w:ind w:left="426" w:right="227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надання Бенефіціару можливості створення та подання до Банку засобами Системи інформації та Платіжних інструкцій (чи інших Платіжних інструментів у визначений законодавством спосіб), необхідних для ініціювання операцій за Рахунком ескроу;</w:t>
      </w:r>
    </w:p>
    <w:p w:rsidR="00396C70" w:rsidRDefault="006759B9">
      <w:pPr>
        <w:widowControl w:val="0"/>
        <w:numPr>
          <w:ilvl w:val="0"/>
          <w:numId w:val="7"/>
        </w:numPr>
        <w:tabs>
          <w:tab w:val="left" w:pos="851"/>
        </w:tabs>
        <w:ind w:left="426" w:right="227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надання Бенефіціару інформації про рух коштів та залишки коштів по Рахунку ескроу.</w:t>
      </w:r>
    </w:p>
    <w:p w:rsidR="00396C70" w:rsidRDefault="00396C70">
      <w:pPr>
        <w:widowControl w:val="0"/>
        <w:ind w:left="426" w:right="227" w:firstLine="567"/>
        <w:jc w:val="both"/>
        <w:rPr>
          <w:sz w:val="22"/>
          <w:szCs w:val="22"/>
        </w:rPr>
      </w:pPr>
    </w:p>
    <w:p w:rsidR="00396C70" w:rsidRDefault="006759B9">
      <w:pPr>
        <w:widowControl w:val="0"/>
        <w:ind w:left="426" w:righ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Підтверджую та визнаю, що:</w:t>
      </w:r>
    </w:p>
    <w:p w:rsidR="00396C70" w:rsidRDefault="006759B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18" w:right="227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право розпорядження Рахунком ескроу здійснюється уповноваженими особами Бенефіціара, зазначеними в Переліку осіб, яким надано право розпорядження рахунками (Рахунки умовного зберігання (Рахунки ескроу), наданому Бенефіціаром (або такого, що буде наданий в майбутньому), та не потребує додаткового погодження Клієнтом. </w:t>
      </w:r>
    </w:p>
    <w:p w:rsidR="00396C70" w:rsidRDefault="006759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доступ до Рахунку ескроу та право розпорядження коштами при здійсненні операцій за Рахунком ескроу надається Банком Бенефіціару на підставі Заявки про підключення (внесення змін)/відключення Системи Банком, наданої Бенефіціаром до Банку та актуальної станом на дату відкриття Рахунку ескроу,  а також тих, що будуть надані  Бенефіціаром в майбутньому. </w:t>
      </w:r>
    </w:p>
    <w:p w:rsidR="00396C70" w:rsidRDefault="00396C70">
      <w:pPr>
        <w:widowControl w:val="0"/>
        <w:ind w:left="426" w:right="227" w:firstLine="567"/>
        <w:jc w:val="both"/>
        <w:rPr>
          <w:sz w:val="22"/>
          <w:szCs w:val="22"/>
        </w:rPr>
      </w:pPr>
    </w:p>
    <w:p w:rsidR="00396C70" w:rsidRDefault="00396C70">
      <w:pPr>
        <w:widowControl w:val="0"/>
        <w:ind w:hanging="360"/>
        <w:jc w:val="both"/>
        <w:rPr>
          <w:sz w:val="22"/>
          <w:szCs w:val="22"/>
        </w:rPr>
      </w:pPr>
    </w:p>
    <w:tbl>
      <w:tblPr>
        <w:tblStyle w:val="aff1"/>
        <w:tblW w:w="36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"/>
        <w:gridCol w:w="357"/>
        <w:gridCol w:w="326"/>
        <w:gridCol w:w="1433"/>
        <w:gridCol w:w="546"/>
        <w:gridCol w:w="274"/>
        <w:gridCol w:w="381"/>
      </w:tblGrid>
      <w:tr w:rsidR="00396C70">
        <w:tc>
          <w:tcPr>
            <w:tcW w:w="326" w:type="dxa"/>
          </w:tcPr>
          <w:p w:rsidR="00396C70" w:rsidRDefault="006759B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6C70" w:rsidRDefault="00396C7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" w:type="dxa"/>
          </w:tcPr>
          <w:p w:rsidR="00396C70" w:rsidRDefault="006759B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6C70" w:rsidRDefault="00396C7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396C70" w:rsidRDefault="006759B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6C70" w:rsidRDefault="00396C7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</w:tcPr>
          <w:p w:rsidR="00396C70" w:rsidRDefault="006759B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 </w:t>
            </w:r>
          </w:p>
        </w:tc>
      </w:tr>
    </w:tbl>
    <w:p w:rsidR="00396C70" w:rsidRDefault="00396C70">
      <w:pPr>
        <w:widowControl w:val="0"/>
        <w:ind w:hanging="360"/>
        <w:jc w:val="both"/>
        <w:rPr>
          <w:sz w:val="22"/>
          <w:szCs w:val="22"/>
        </w:rPr>
      </w:pPr>
    </w:p>
    <w:tbl>
      <w:tblPr>
        <w:tblStyle w:val="aff2"/>
        <w:tblW w:w="9781" w:type="dxa"/>
        <w:tblInd w:w="426" w:type="dxa"/>
        <w:tblLayout w:type="fixed"/>
        <w:tblLook w:val="0400" w:firstRow="0" w:lastRow="0" w:firstColumn="0" w:lastColumn="0" w:noHBand="0" w:noVBand="1"/>
      </w:tblPr>
      <w:tblGrid>
        <w:gridCol w:w="3403"/>
        <w:gridCol w:w="283"/>
        <w:gridCol w:w="2693"/>
        <w:gridCol w:w="567"/>
        <w:gridCol w:w="2835"/>
      </w:tblGrid>
      <w:tr w:rsidR="00396C70">
        <w:trPr>
          <w:cantSplit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6C70" w:rsidRDefault="00396C70">
            <w:pPr>
              <w:widowControl w:val="0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vMerge w:val="restart"/>
          </w:tcPr>
          <w:p w:rsidR="00396C70" w:rsidRDefault="00396C7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6C70" w:rsidRDefault="00396C7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396C70" w:rsidRDefault="006759B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6C70" w:rsidRDefault="00396C7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396C70">
        <w:trPr>
          <w:cantSplit/>
          <w:trHeight w:val="81"/>
        </w:trPr>
        <w:tc>
          <w:tcPr>
            <w:tcW w:w="34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96C70" w:rsidRDefault="006759B9">
            <w:pPr>
              <w:widowControl w:val="0"/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(Посада)</w:t>
            </w:r>
          </w:p>
        </w:tc>
        <w:tc>
          <w:tcPr>
            <w:tcW w:w="283" w:type="dxa"/>
            <w:vMerge/>
          </w:tcPr>
          <w:p w:rsidR="00396C70" w:rsidRDefault="00396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96C70" w:rsidRDefault="006759B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16"/>
                <w:szCs w:val="16"/>
              </w:rPr>
              <w:t>підпис/ЕП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</w:tcPr>
          <w:p w:rsidR="00396C70" w:rsidRDefault="00396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96C70" w:rsidRDefault="006759B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(Прізвище та ініціали)</w:t>
            </w:r>
          </w:p>
        </w:tc>
      </w:tr>
    </w:tbl>
    <w:p w:rsidR="00396C70" w:rsidRDefault="006759B9">
      <w:pPr>
        <w:widowControl w:val="0"/>
        <w:pBdr>
          <w:bottom w:val="single" w:sz="12" w:space="1" w:color="000000"/>
        </w:pBdr>
        <w:ind w:left="-142" w:firstLine="368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М.П. (за наявності)</w:t>
      </w:r>
    </w:p>
    <w:p w:rsidR="00396C70" w:rsidRDefault="006759B9">
      <w:pPr>
        <w:widowControl w:val="0"/>
        <w:pBdr>
          <w:bottom w:val="single" w:sz="12" w:space="1" w:color="000000"/>
        </w:pBdr>
        <w:ind w:left="-14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396C70" w:rsidRDefault="00396C7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</w:rPr>
      </w:pPr>
    </w:p>
    <w:p w:rsidR="00396C70" w:rsidRDefault="00396C7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highlight w:val="lightGray"/>
        </w:rPr>
      </w:pPr>
    </w:p>
    <w:p w:rsidR="00396C70" w:rsidRDefault="00396C7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highlight w:val="lightGray"/>
        </w:rPr>
      </w:pPr>
    </w:p>
    <w:p w:rsidR="00396C70" w:rsidRDefault="006759B9">
      <w:pPr>
        <w:keepNext/>
        <w:widowControl w:val="0"/>
        <w:jc w:val="center"/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>ВІДМІТКИ БАНКУ</w:t>
      </w:r>
    </w:p>
    <w:p w:rsidR="00396C70" w:rsidRDefault="006759B9">
      <w:pPr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>Прийнято Банком:</w:t>
      </w:r>
    </w:p>
    <w:p w:rsidR="00396C70" w:rsidRDefault="00396C70">
      <w:pPr>
        <w:rPr>
          <w:sz w:val="22"/>
          <w:szCs w:val="22"/>
          <w:highlight w:val="lightGray"/>
        </w:rPr>
      </w:pPr>
    </w:p>
    <w:tbl>
      <w:tblPr>
        <w:tblStyle w:val="aff3"/>
        <w:tblW w:w="87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4"/>
        <w:gridCol w:w="511"/>
        <w:gridCol w:w="314"/>
        <w:gridCol w:w="1453"/>
        <w:gridCol w:w="493"/>
        <w:gridCol w:w="328"/>
        <w:gridCol w:w="381"/>
        <w:gridCol w:w="567"/>
        <w:gridCol w:w="284"/>
        <w:gridCol w:w="1559"/>
        <w:gridCol w:w="283"/>
        <w:gridCol w:w="2268"/>
      </w:tblGrid>
      <w:tr w:rsidR="00396C70">
        <w:trPr>
          <w:gridAfter w:val="5"/>
          <w:wAfter w:w="4961" w:type="dxa"/>
        </w:trPr>
        <w:tc>
          <w:tcPr>
            <w:tcW w:w="314" w:type="dxa"/>
          </w:tcPr>
          <w:p w:rsidR="00396C70" w:rsidRDefault="006759B9">
            <w:pPr>
              <w:widowControl w:val="0"/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«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6C70" w:rsidRDefault="00396C70">
            <w:pPr>
              <w:widowControl w:val="0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314" w:type="dxa"/>
          </w:tcPr>
          <w:p w:rsidR="00396C70" w:rsidRDefault="006759B9">
            <w:pPr>
              <w:widowControl w:val="0"/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6C70" w:rsidRDefault="00396C70">
            <w:pPr>
              <w:widowControl w:val="0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493" w:type="dxa"/>
          </w:tcPr>
          <w:p w:rsidR="00396C70" w:rsidRDefault="006759B9">
            <w:pPr>
              <w:widowControl w:val="0"/>
              <w:ind w:right="-108"/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202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6C70" w:rsidRDefault="00396C70">
            <w:pPr>
              <w:widowControl w:val="0"/>
              <w:ind w:right="-64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381" w:type="dxa"/>
          </w:tcPr>
          <w:p w:rsidR="00396C70" w:rsidRDefault="006759B9">
            <w:pPr>
              <w:widowControl w:val="0"/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р.  </w:t>
            </w:r>
          </w:p>
        </w:tc>
      </w:tr>
      <w:tr w:rsidR="00396C70">
        <w:trPr>
          <w:cantSplit/>
          <w:trHeight w:val="87"/>
        </w:trPr>
        <w:tc>
          <w:tcPr>
            <w:tcW w:w="436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6C70" w:rsidRDefault="00396C70">
            <w:pPr>
              <w:widowControl w:val="0"/>
              <w:ind w:right="-108"/>
              <w:jc w:val="center"/>
              <w:rPr>
                <w:sz w:val="22"/>
                <w:szCs w:val="22"/>
                <w:highlight w:val="lightGray"/>
              </w:rPr>
            </w:pPr>
          </w:p>
          <w:p w:rsidR="00396C70" w:rsidRDefault="00396C70">
            <w:pPr>
              <w:widowControl w:val="0"/>
              <w:ind w:right="-108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84" w:type="dxa"/>
            <w:vMerge w:val="restart"/>
          </w:tcPr>
          <w:p w:rsidR="00396C70" w:rsidRDefault="00396C70">
            <w:pPr>
              <w:widowControl w:val="0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</w:tcPr>
          <w:p w:rsidR="00396C70" w:rsidRDefault="00396C70">
            <w:pPr>
              <w:widowControl w:val="0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83" w:type="dxa"/>
            <w:vMerge w:val="restart"/>
          </w:tcPr>
          <w:p w:rsidR="00396C70" w:rsidRDefault="00396C70">
            <w:pPr>
              <w:widowControl w:val="0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</w:tcPr>
          <w:p w:rsidR="00396C70" w:rsidRDefault="00396C70">
            <w:pPr>
              <w:widowControl w:val="0"/>
              <w:ind w:right="-108"/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396C70">
        <w:trPr>
          <w:cantSplit/>
          <w:trHeight w:val="87"/>
        </w:trPr>
        <w:tc>
          <w:tcPr>
            <w:tcW w:w="436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96C70" w:rsidRDefault="006759B9">
            <w:pPr>
              <w:widowControl w:val="0"/>
              <w:ind w:right="-108"/>
              <w:jc w:val="center"/>
              <w:rPr>
                <w:i/>
                <w:sz w:val="22"/>
                <w:szCs w:val="22"/>
                <w:highlight w:val="lightGray"/>
              </w:rPr>
            </w:pPr>
            <w:r>
              <w:rPr>
                <w:i/>
                <w:sz w:val="22"/>
                <w:szCs w:val="22"/>
                <w:highlight w:val="lightGray"/>
              </w:rPr>
              <w:t>(посада відповідального виконавця Банку,</w:t>
            </w:r>
          </w:p>
          <w:p w:rsidR="00396C70" w:rsidRDefault="006759B9">
            <w:pPr>
              <w:widowControl w:val="0"/>
              <w:ind w:right="-108"/>
              <w:jc w:val="center"/>
              <w:rPr>
                <w:i/>
                <w:sz w:val="22"/>
                <w:szCs w:val="22"/>
                <w:highlight w:val="lightGray"/>
              </w:rPr>
            </w:pPr>
            <w:r>
              <w:rPr>
                <w:i/>
                <w:sz w:val="22"/>
                <w:szCs w:val="22"/>
                <w:highlight w:val="lightGray"/>
              </w:rPr>
              <w:t>який отримав повідомлення)</w:t>
            </w:r>
          </w:p>
        </w:tc>
        <w:tc>
          <w:tcPr>
            <w:tcW w:w="284" w:type="dxa"/>
            <w:vMerge/>
          </w:tcPr>
          <w:p w:rsidR="00396C70" w:rsidRDefault="00396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96C70" w:rsidRDefault="006759B9">
            <w:pPr>
              <w:widowControl w:val="0"/>
              <w:jc w:val="center"/>
              <w:rPr>
                <w:i/>
                <w:sz w:val="22"/>
                <w:szCs w:val="22"/>
                <w:highlight w:val="lightGray"/>
              </w:rPr>
            </w:pPr>
            <w:r>
              <w:rPr>
                <w:i/>
                <w:sz w:val="22"/>
                <w:szCs w:val="22"/>
                <w:highlight w:val="lightGray"/>
              </w:rPr>
              <w:t>(</w:t>
            </w:r>
            <w:r>
              <w:rPr>
                <w:i/>
                <w:sz w:val="16"/>
                <w:szCs w:val="16"/>
                <w:highlight w:val="lightGray"/>
              </w:rPr>
              <w:t>підпис/ЕП</w:t>
            </w:r>
            <w:r>
              <w:rPr>
                <w:i/>
                <w:sz w:val="22"/>
                <w:szCs w:val="22"/>
                <w:highlight w:val="lightGray"/>
              </w:rPr>
              <w:t>)</w:t>
            </w:r>
          </w:p>
        </w:tc>
        <w:tc>
          <w:tcPr>
            <w:tcW w:w="283" w:type="dxa"/>
            <w:vMerge/>
          </w:tcPr>
          <w:p w:rsidR="00396C70" w:rsidRDefault="00396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96C70" w:rsidRDefault="006759B9">
            <w:pPr>
              <w:widowControl w:val="0"/>
              <w:ind w:right="-108"/>
              <w:jc w:val="center"/>
              <w:rPr>
                <w:i/>
                <w:sz w:val="22"/>
                <w:szCs w:val="22"/>
                <w:highlight w:val="lightGray"/>
              </w:rPr>
            </w:pPr>
            <w:r>
              <w:rPr>
                <w:i/>
                <w:sz w:val="22"/>
                <w:szCs w:val="22"/>
                <w:highlight w:val="lightGray"/>
              </w:rPr>
              <w:t>(Прізвище та ініціали)</w:t>
            </w:r>
          </w:p>
        </w:tc>
      </w:tr>
    </w:tbl>
    <w:p w:rsidR="00396C70" w:rsidRDefault="00396C70">
      <w:pPr>
        <w:widowControl w:val="0"/>
        <w:jc w:val="both"/>
        <w:rPr>
          <w:i/>
          <w:color w:val="008000"/>
          <w:sz w:val="22"/>
          <w:szCs w:val="22"/>
          <w:highlight w:val="lightGray"/>
        </w:rPr>
      </w:pPr>
    </w:p>
    <w:tbl>
      <w:tblPr>
        <w:tblStyle w:val="aff4"/>
        <w:tblW w:w="251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</w:tblGrid>
      <w:tr w:rsidR="00396C70">
        <w:trPr>
          <w:trHeight w:val="886"/>
        </w:trPr>
        <w:tc>
          <w:tcPr>
            <w:tcW w:w="2518" w:type="dxa"/>
            <w:vAlign w:val="center"/>
          </w:tcPr>
          <w:p w:rsidR="00396C70" w:rsidRDefault="006759B9">
            <w:pPr>
              <w:tabs>
                <w:tab w:val="center" w:pos="4153"/>
                <w:tab w:val="right" w:pos="8306"/>
              </w:tabs>
              <w:jc w:val="center"/>
              <w:rPr>
                <w:i/>
                <w:color w:val="808080"/>
                <w:sz w:val="22"/>
                <w:szCs w:val="22"/>
              </w:rPr>
            </w:pPr>
            <w:r>
              <w:rPr>
                <w:i/>
                <w:color w:val="808080"/>
                <w:sz w:val="22"/>
                <w:szCs w:val="22"/>
                <w:highlight w:val="lightGray"/>
              </w:rPr>
              <w:t>відбиток штампу Банка</w:t>
            </w:r>
          </w:p>
        </w:tc>
      </w:tr>
    </w:tbl>
    <w:p w:rsidR="00396C70" w:rsidRDefault="00396C70">
      <w:pPr>
        <w:ind w:left="3960" w:firstLine="1080"/>
        <w:jc w:val="right"/>
        <w:rPr>
          <w:b/>
          <w:sz w:val="22"/>
          <w:szCs w:val="22"/>
        </w:rPr>
      </w:pPr>
    </w:p>
    <w:p w:rsidR="00396C70" w:rsidRDefault="00396C70">
      <w:pPr>
        <w:tabs>
          <w:tab w:val="left" w:pos="7095"/>
        </w:tabs>
        <w:rPr>
          <w:sz w:val="18"/>
          <w:szCs w:val="18"/>
        </w:rPr>
      </w:pPr>
    </w:p>
    <w:p w:rsidR="00396C70" w:rsidRDefault="00396C70">
      <w:pPr>
        <w:tabs>
          <w:tab w:val="left" w:pos="7095"/>
        </w:tabs>
        <w:rPr>
          <w:sz w:val="18"/>
          <w:szCs w:val="18"/>
        </w:rPr>
      </w:pPr>
    </w:p>
    <w:p w:rsidR="00396C70" w:rsidRDefault="00396C70">
      <w:pPr>
        <w:rPr>
          <w:sz w:val="20"/>
          <w:szCs w:val="20"/>
        </w:rPr>
      </w:pPr>
    </w:p>
    <w:sectPr w:rsidR="00396C70">
      <w:headerReference w:type="default" r:id="rId10"/>
      <w:footerReference w:type="default" r:id="rId11"/>
      <w:pgSz w:w="11906" w:h="16838"/>
      <w:pgMar w:top="284" w:right="340" w:bottom="142" w:left="340" w:header="285" w:footer="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9C" w:rsidRDefault="00FF689C">
      <w:r>
        <w:separator/>
      </w:r>
    </w:p>
  </w:endnote>
  <w:endnote w:type="continuationSeparator" w:id="0">
    <w:p w:rsidR="00FF689C" w:rsidRDefault="00FF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ova Mono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70" w:rsidRDefault="006759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b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 xml:space="preserve">аркуш </w:t>
    </w:r>
    <w:r>
      <w:rPr>
        <w:rFonts w:eastAsia="Times New Roman"/>
        <w:b/>
        <w:color w:val="000000"/>
        <w:sz w:val="20"/>
        <w:szCs w:val="20"/>
      </w:rPr>
      <w:fldChar w:fldCharType="begin"/>
    </w:r>
    <w:r>
      <w:rPr>
        <w:rFonts w:eastAsia="Times New Roman"/>
        <w:b/>
        <w:color w:val="000000"/>
        <w:sz w:val="20"/>
        <w:szCs w:val="20"/>
      </w:rPr>
      <w:instrText>PAGE</w:instrText>
    </w:r>
    <w:r>
      <w:rPr>
        <w:rFonts w:eastAsia="Times New Roman"/>
        <w:b/>
        <w:color w:val="000000"/>
        <w:sz w:val="20"/>
        <w:szCs w:val="20"/>
      </w:rPr>
      <w:fldChar w:fldCharType="separate"/>
    </w:r>
    <w:r w:rsidR="002A085B">
      <w:rPr>
        <w:rFonts w:eastAsia="Times New Roman"/>
        <w:b/>
        <w:noProof/>
        <w:color w:val="000000"/>
        <w:sz w:val="20"/>
        <w:szCs w:val="20"/>
      </w:rPr>
      <w:t>1</w:t>
    </w:r>
    <w:r>
      <w:rPr>
        <w:rFonts w:eastAsia="Times New Roman"/>
        <w:b/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з </w:t>
    </w:r>
    <w:r>
      <w:rPr>
        <w:rFonts w:eastAsia="Times New Roman"/>
        <w:b/>
        <w:color w:val="000000"/>
        <w:sz w:val="20"/>
        <w:szCs w:val="20"/>
      </w:rPr>
      <w:fldChar w:fldCharType="begin"/>
    </w:r>
    <w:r>
      <w:rPr>
        <w:rFonts w:eastAsia="Times New Roman"/>
        <w:b/>
        <w:color w:val="000000"/>
        <w:sz w:val="20"/>
        <w:szCs w:val="20"/>
      </w:rPr>
      <w:instrText>NUMPAGES</w:instrText>
    </w:r>
    <w:r>
      <w:rPr>
        <w:rFonts w:eastAsia="Times New Roman"/>
        <w:b/>
        <w:color w:val="000000"/>
        <w:sz w:val="20"/>
        <w:szCs w:val="20"/>
      </w:rPr>
      <w:fldChar w:fldCharType="separate"/>
    </w:r>
    <w:r w:rsidR="002A085B">
      <w:rPr>
        <w:rFonts w:eastAsia="Times New Roman"/>
        <w:b/>
        <w:noProof/>
        <w:color w:val="000000"/>
        <w:sz w:val="20"/>
        <w:szCs w:val="20"/>
      </w:rPr>
      <w:t>4</w:t>
    </w:r>
    <w:r>
      <w:rPr>
        <w:rFonts w:eastAsia="Times New Roman"/>
        <w:b/>
        <w:color w:val="000000"/>
        <w:sz w:val="20"/>
        <w:szCs w:val="20"/>
      </w:rPr>
      <w:fldChar w:fldCharType="end"/>
    </w:r>
  </w:p>
  <w:p w:rsidR="00396C70" w:rsidRDefault="00396C70">
    <w:pPr>
      <w:pBdr>
        <w:top w:val="single" w:sz="24" w:space="0" w:color="000000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6237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9C" w:rsidRDefault="00FF689C">
      <w:r>
        <w:separator/>
      </w:r>
    </w:p>
  </w:footnote>
  <w:footnote w:type="continuationSeparator" w:id="0">
    <w:p w:rsidR="00FF689C" w:rsidRDefault="00FF689C">
      <w:r>
        <w:continuationSeparator/>
      </w:r>
    </w:p>
  </w:footnote>
  <w:footnote w:id="1">
    <w:p w:rsidR="002F44C6" w:rsidRDefault="002F44C6">
      <w:pPr>
        <w:pStyle w:val="ac"/>
      </w:pPr>
      <w:r>
        <w:rPr>
          <w:rStyle w:val="a4"/>
        </w:rPr>
        <w:footnoteRef/>
      </w:r>
      <w:r>
        <w:t xml:space="preserve"> </w:t>
      </w:r>
      <w:r>
        <w:rPr>
          <w:i/>
          <w:color w:val="000000"/>
          <w:sz w:val="16"/>
          <w:szCs w:val="16"/>
        </w:rPr>
        <w:t>Зазначається посада та ПІБ особи, що представляє Клієнта перед Банком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70" w:rsidRDefault="006759B9">
    <w:pPr>
      <w:pBdr>
        <w:top w:val="nil"/>
        <w:left w:val="nil"/>
        <w:bottom w:val="single" w:sz="24" w:space="0" w:color="000000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b/>
        <w:color w:val="000000"/>
      </w:rPr>
    </w:pPr>
    <w:bookmarkStart w:id="2" w:name="_heading=h.30j0zll" w:colFirst="0" w:colLast="0"/>
    <w:bookmarkEnd w:id="2"/>
    <w:r>
      <w:rPr>
        <w:rFonts w:eastAsia="Times New Roman"/>
        <w:b/>
        <w:color w:val="000000"/>
      </w:rPr>
      <w:t>АБ «УКРГАЗБАНК»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722"/>
    <w:multiLevelType w:val="hybridMultilevel"/>
    <w:tmpl w:val="C1346420"/>
    <w:lvl w:ilvl="0" w:tplc="8EDE657C">
      <w:start w:val="5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0" w:hanging="360"/>
      </w:pPr>
    </w:lvl>
    <w:lvl w:ilvl="2" w:tplc="0422001B" w:tentative="1">
      <w:start w:val="1"/>
      <w:numFmt w:val="lowerRoman"/>
      <w:lvlText w:val="%3."/>
      <w:lvlJc w:val="right"/>
      <w:pPr>
        <w:ind w:left="2050" w:hanging="180"/>
      </w:pPr>
    </w:lvl>
    <w:lvl w:ilvl="3" w:tplc="0422000F" w:tentative="1">
      <w:start w:val="1"/>
      <w:numFmt w:val="decimal"/>
      <w:lvlText w:val="%4."/>
      <w:lvlJc w:val="left"/>
      <w:pPr>
        <w:ind w:left="2770" w:hanging="360"/>
      </w:pPr>
    </w:lvl>
    <w:lvl w:ilvl="4" w:tplc="04220019" w:tentative="1">
      <w:start w:val="1"/>
      <w:numFmt w:val="lowerLetter"/>
      <w:lvlText w:val="%5."/>
      <w:lvlJc w:val="left"/>
      <w:pPr>
        <w:ind w:left="3490" w:hanging="360"/>
      </w:pPr>
    </w:lvl>
    <w:lvl w:ilvl="5" w:tplc="0422001B" w:tentative="1">
      <w:start w:val="1"/>
      <w:numFmt w:val="lowerRoman"/>
      <w:lvlText w:val="%6."/>
      <w:lvlJc w:val="right"/>
      <w:pPr>
        <w:ind w:left="4210" w:hanging="180"/>
      </w:pPr>
    </w:lvl>
    <w:lvl w:ilvl="6" w:tplc="0422000F" w:tentative="1">
      <w:start w:val="1"/>
      <w:numFmt w:val="decimal"/>
      <w:lvlText w:val="%7."/>
      <w:lvlJc w:val="left"/>
      <w:pPr>
        <w:ind w:left="4930" w:hanging="360"/>
      </w:pPr>
    </w:lvl>
    <w:lvl w:ilvl="7" w:tplc="04220019" w:tentative="1">
      <w:start w:val="1"/>
      <w:numFmt w:val="lowerLetter"/>
      <w:lvlText w:val="%8."/>
      <w:lvlJc w:val="left"/>
      <w:pPr>
        <w:ind w:left="5650" w:hanging="360"/>
      </w:pPr>
    </w:lvl>
    <w:lvl w:ilvl="8" w:tplc="0422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03C54A95"/>
    <w:multiLevelType w:val="multilevel"/>
    <w:tmpl w:val="0600671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5B0CDC"/>
    <w:multiLevelType w:val="multilevel"/>
    <w:tmpl w:val="1EF4BF7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835C47"/>
    <w:multiLevelType w:val="multilevel"/>
    <w:tmpl w:val="D3B4567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2A3A5E"/>
    <w:multiLevelType w:val="multilevel"/>
    <w:tmpl w:val="B9406A8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1C2A2A"/>
    <w:multiLevelType w:val="hybridMultilevel"/>
    <w:tmpl w:val="1A34A6CC"/>
    <w:lvl w:ilvl="0" w:tplc="4F5E36FE">
      <w:start w:val="4"/>
      <w:numFmt w:val="bullet"/>
      <w:lvlText w:val="-"/>
      <w:lvlJc w:val="left"/>
      <w:pPr>
        <w:ind w:left="358" w:hanging="360"/>
      </w:pPr>
      <w:rPr>
        <w:rFonts w:ascii="Calibri" w:eastAsia="Nova Mono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 w15:restartNumberingAfterBreak="0">
    <w:nsid w:val="5E2A28EA"/>
    <w:multiLevelType w:val="multilevel"/>
    <w:tmpl w:val="AE3A6F68"/>
    <w:lvl w:ilvl="0">
      <w:start w:val="1"/>
      <w:numFmt w:val="bullet"/>
      <w:lvlText w:val="✔"/>
      <w:lvlJc w:val="left"/>
      <w:pPr>
        <w:ind w:left="17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2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652611"/>
    <w:multiLevelType w:val="multilevel"/>
    <w:tmpl w:val="23D8620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DC4A95"/>
    <w:multiLevelType w:val="multilevel"/>
    <w:tmpl w:val="14CE9A6A"/>
    <w:lvl w:ilvl="0">
      <w:start w:val="1"/>
      <w:numFmt w:val="decimal"/>
      <w:lvlText w:val="%1."/>
      <w:lvlJc w:val="left"/>
      <w:pPr>
        <w:ind w:left="6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30" w:hanging="360"/>
      </w:pPr>
    </w:lvl>
    <w:lvl w:ilvl="2">
      <w:start w:val="1"/>
      <w:numFmt w:val="lowerRoman"/>
      <w:lvlText w:val="%3."/>
      <w:lvlJc w:val="right"/>
      <w:pPr>
        <w:ind w:left="2050" w:hanging="180"/>
      </w:pPr>
    </w:lvl>
    <w:lvl w:ilvl="3">
      <w:start w:val="1"/>
      <w:numFmt w:val="decimal"/>
      <w:lvlText w:val="%4."/>
      <w:lvlJc w:val="left"/>
      <w:pPr>
        <w:ind w:left="2770" w:hanging="360"/>
      </w:pPr>
    </w:lvl>
    <w:lvl w:ilvl="4">
      <w:start w:val="1"/>
      <w:numFmt w:val="lowerLetter"/>
      <w:lvlText w:val="%5."/>
      <w:lvlJc w:val="left"/>
      <w:pPr>
        <w:ind w:left="3490" w:hanging="360"/>
      </w:pPr>
    </w:lvl>
    <w:lvl w:ilvl="5">
      <w:start w:val="1"/>
      <w:numFmt w:val="lowerRoman"/>
      <w:lvlText w:val="%6."/>
      <w:lvlJc w:val="right"/>
      <w:pPr>
        <w:ind w:left="4210" w:hanging="180"/>
      </w:pPr>
    </w:lvl>
    <w:lvl w:ilvl="6">
      <w:start w:val="1"/>
      <w:numFmt w:val="decimal"/>
      <w:lvlText w:val="%7."/>
      <w:lvlJc w:val="left"/>
      <w:pPr>
        <w:ind w:left="4930" w:hanging="360"/>
      </w:pPr>
    </w:lvl>
    <w:lvl w:ilvl="7">
      <w:start w:val="1"/>
      <w:numFmt w:val="lowerLetter"/>
      <w:lvlText w:val="%8."/>
      <w:lvlJc w:val="left"/>
      <w:pPr>
        <w:ind w:left="5650" w:hanging="360"/>
      </w:pPr>
    </w:lvl>
    <w:lvl w:ilvl="8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70"/>
    <w:rsid w:val="000C63F5"/>
    <w:rsid w:val="002A085B"/>
    <w:rsid w:val="002F44C6"/>
    <w:rsid w:val="0035125C"/>
    <w:rsid w:val="00396C70"/>
    <w:rsid w:val="003B021C"/>
    <w:rsid w:val="004F6F8E"/>
    <w:rsid w:val="006759B9"/>
    <w:rsid w:val="00683C36"/>
    <w:rsid w:val="0076753E"/>
    <w:rsid w:val="007925AD"/>
    <w:rsid w:val="008B4B35"/>
    <w:rsid w:val="008F3B0D"/>
    <w:rsid w:val="00A92E69"/>
    <w:rsid w:val="00C377F5"/>
    <w:rsid w:val="00C84D8A"/>
    <w:rsid w:val="00C90AB6"/>
    <w:rsid w:val="00D44D87"/>
    <w:rsid w:val="00E343EC"/>
    <w:rsid w:val="00E3740C"/>
    <w:rsid w:val="00EB7179"/>
    <w:rsid w:val="00FF0FE3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4137"/>
  <w15:docId w15:val="{249598FE-4A3E-4FC3-904B-6CB3C67C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MS Mincho"/>
      <w:lang w:val="ru-RU" w:eastAsia="ja-JP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qFormat/>
    <w:rPr>
      <w:b/>
      <w:bCs/>
    </w:rPr>
  </w:style>
  <w:style w:type="paragraph" w:styleId="ac">
    <w:name w:val="footnote text"/>
    <w:basedOn w:val="a"/>
    <w:semiHidden/>
    <w:rPr>
      <w:rFonts w:eastAsia="Times New Roman"/>
      <w:sz w:val="20"/>
      <w:szCs w:val="20"/>
      <w:lang w:val="uk-UA" w:eastAsia="ru-RU"/>
    </w:rPr>
  </w:style>
  <w:style w:type="paragraph" w:styleId="ad">
    <w:name w:val="head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pPr>
      <w:spacing w:after="120"/>
    </w:pPr>
    <w:rPr>
      <w:rFonts w:eastAsia="Times New Roman"/>
      <w:lang w:val="uk-UA"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styleId="af3">
    <w:name w:val="Normal (Web)"/>
    <w:basedOn w:val="a"/>
    <w:link w:val="af4"/>
    <w:uiPriority w:val="99"/>
    <w:unhideWhenUsed/>
    <w:qFormat/>
    <w:pPr>
      <w:spacing w:before="100" w:beforeAutospacing="1" w:after="100" w:afterAutospacing="1"/>
    </w:pPr>
    <w:rPr>
      <w:rFonts w:eastAsiaTheme="minorEastAsia"/>
      <w:lang w:val="uk-UA" w:eastAsia="uk-UA"/>
    </w:rPr>
  </w:style>
  <w:style w:type="table" w:styleId="20">
    <w:name w:val="Table Grid 2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l2br w:val="nil"/>
          <w:tr2bl w:val="nil"/>
        </w:tcBorders>
      </w:tcPr>
    </w:tblStylePr>
  </w:style>
  <w:style w:type="table" w:styleId="af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тиль таблицы2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0">
    <w:name w:val="Знак1"/>
    <w:basedOn w:val="a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1">
    <w:name w:val="Основной шрифт абзаца1"/>
    <w:qFormat/>
  </w:style>
  <w:style w:type="paragraph" w:customStyle="1" w:styleId="af6">
    <w:name w:val="Знак Знак"/>
    <w:basedOn w:val="a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0">
    <w:name w:val="Основной текст Знак"/>
    <w:link w:val="af"/>
    <w:qFormat/>
    <w:rPr>
      <w:rFonts w:eastAsia="Times New Roman"/>
      <w:sz w:val="24"/>
      <w:szCs w:val="24"/>
      <w:lang w:val="uk-UA"/>
    </w:rPr>
  </w:style>
  <w:style w:type="character" w:customStyle="1" w:styleId="ae">
    <w:name w:val="Верхний колонтитул Знак"/>
    <w:link w:val="ad"/>
    <w:uiPriority w:val="99"/>
    <w:qFormat/>
    <w:rPr>
      <w:sz w:val="24"/>
      <w:szCs w:val="24"/>
      <w:lang w:val="ru-RU" w:eastAsia="ja-JP"/>
    </w:rPr>
  </w:style>
  <w:style w:type="character" w:customStyle="1" w:styleId="af2">
    <w:name w:val="Нижний колонтитул Знак"/>
    <w:link w:val="af1"/>
    <w:uiPriority w:val="99"/>
    <w:qFormat/>
    <w:rPr>
      <w:sz w:val="24"/>
      <w:szCs w:val="24"/>
      <w:lang w:val="ru-RU" w:eastAsia="ja-JP"/>
    </w:rPr>
  </w:style>
  <w:style w:type="character" w:customStyle="1" w:styleId="a9">
    <w:name w:val="Текст примечания Знак"/>
    <w:link w:val="a8"/>
    <w:qFormat/>
    <w:rPr>
      <w:lang w:val="ru-RU" w:eastAsia="ja-JP"/>
    </w:rPr>
  </w:style>
  <w:style w:type="character" w:customStyle="1" w:styleId="ab">
    <w:name w:val="Тема примечания Знак"/>
    <w:link w:val="aa"/>
    <w:qFormat/>
    <w:rPr>
      <w:b/>
      <w:bCs/>
      <w:lang w:val="ru-RU" w:eastAsia="ja-JP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MS Mincho"/>
      <w:color w:val="000000"/>
    </w:rPr>
  </w:style>
  <w:style w:type="character" w:customStyle="1" w:styleId="af4">
    <w:name w:val="Обычный (веб) Знак"/>
    <w:link w:val="af3"/>
    <w:uiPriority w:val="99"/>
    <w:qFormat/>
    <w:rPr>
      <w:rFonts w:eastAsiaTheme="minorEastAsia"/>
      <w:sz w:val="24"/>
      <w:szCs w:val="24"/>
    </w:rPr>
  </w:style>
  <w:style w:type="character" w:customStyle="1" w:styleId="af8">
    <w:name w:val="Абзац списка Знак"/>
    <w:link w:val="af7"/>
    <w:uiPriority w:val="34"/>
    <w:qFormat/>
    <w:locked/>
    <w:rPr>
      <w:sz w:val="24"/>
      <w:szCs w:val="24"/>
      <w:lang w:val="ru-RU" w:eastAsia="ja-JP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9MyKcv7zHdEBkoXkfIKHZ+j4vg==">CgMxLjAaFgoBMBIRCg8IB0ILEglOb3ZhIE1vbm8aFgoBMRIRCg8IB0ILEglOb3ZhIE1vbm8aFgoBMhIRCg8IB0ILEglOb3ZhIE1vbm8yCGguZ2pkZ3hzMgloLjMwajB6bGw4AHIhMU9FN0pWcXJWZlR0Nzg2QmJldjNtTEdMRDhlUlAtMl9G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ED563F-1921-4A6F-91FF-4764F3B9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9746</Words>
  <Characters>5556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Музиченко Б.В.</dc:creator>
  <cp:lastModifiedBy>Дронь Катерина Сергіївна</cp:lastModifiedBy>
  <cp:revision>2</cp:revision>
  <dcterms:created xsi:type="dcterms:W3CDTF">2025-05-29T08:59:00Z</dcterms:created>
  <dcterms:modified xsi:type="dcterms:W3CDTF">2025-05-29T08:59:00Z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C75EFB9432B0470AA39FDC55E8978E93</vt:lpwstr>
  </property>
</Properties>
</file>