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66" w:rsidRDefault="00500A66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bookmarkStart w:id="0" w:name="_GoBack"/>
      <w:bookmarkEnd w:id="0"/>
    </w:p>
    <w:p w:rsidR="00500A66" w:rsidRDefault="00291087">
      <w:pPr>
        <w:tabs>
          <w:tab w:val="left" w:pos="7740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ЗАЯВА на визначення послуг</w:t>
      </w:r>
      <w:r>
        <w:rPr>
          <w:b/>
          <w:color w:val="FF0000"/>
          <w:sz w:val="20"/>
          <w:szCs w:val="20"/>
          <w:lang w:val="uk-UA"/>
        </w:rPr>
        <w:t xml:space="preserve"> </w:t>
      </w:r>
    </w:p>
    <w:p w:rsidR="00500A66" w:rsidRDefault="00291087">
      <w:pPr>
        <w:tabs>
          <w:tab w:val="left" w:pos="6840"/>
        </w:tabs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до Договору комплексного банківського обслуговування суб’єктів господарювання</w:t>
      </w:r>
    </w:p>
    <w:p w:rsidR="00500A66" w:rsidRDefault="00291087">
      <w:pPr>
        <w:tabs>
          <w:tab w:val="left" w:pos="6840"/>
        </w:tabs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№_______________ від __.__.20__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8"/>
      </w:tblGrid>
      <w:tr w:rsidR="00500A66">
        <w:tc>
          <w:tcPr>
            <w:tcW w:w="11199" w:type="dxa"/>
            <w:shd w:val="clear" w:color="auto" w:fill="D9D9D9"/>
          </w:tcPr>
          <w:p w:rsidR="00500A66" w:rsidRDefault="00291087"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283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Дані Клієнта та контактна інформація</w:t>
            </w:r>
          </w:p>
        </w:tc>
      </w:tr>
    </w:tbl>
    <w:p w:rsidR="00500A66" w:rsidRDefault="00500A66">
      <w:pPr>
        <w:rPr>
          <w:vanish/>
          <w:sz w:val="20"/>
          <w:szCs w:val="20"/>
          <w:lang w:val="uk-UA"/>
        </w:rPr>
      </w:pPr>
    </w:p>
    <w:tbl>
      <w:tblPr>
        <w:tblW w:w="114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"/>
        <w:gridCol w:w="236"/>
        <w:gridCol w:w="2393"/>
        <w:gridCol w:w="1057"/>
        <w:gridCol w:w="96"/>
        <w:gridCol w:w="236"/>
        <w:gridCol w:w="518"/>
        <w:gridCol w:w="772"/>
        <w:gridCol w:w="1563"/>
        <w:gridCol w:w="236"/>
        <w:gridCol w:w="3729"/>
        <w:gridCol w:w="129"/>
        <w:gridCol w:w="236"/>
      </w:tblGrid>
      <w:tr w:rsidR="00500A66" w:rsidRPr="00E04848">
        <w:trPr>
          <w:gridBefore w:val="1"/>
          <w:wBefore w:w="221" w:type="dxa"/>
          <w:trHeight w:val="444"/>
        </w:trPr>
        <w:tc>
          <w:tcPr>
            <w:tcW w:w="2629" w:type="dxa"/>
            <w:gridSpan w:val="2"/>
            <w:vMerge w:val="restart"/>
            <w:shd w:val="clear" w:color="auto" w:fill="auto"/>
          </w:tcPr>
          <w:p w:rsidR="00500A66" w:rsidRDefault="0029108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/прізвище, ім'я та по батькові (за наявності) Клієнта, що відкриває рахунок</w:t>
            </w:r>
          </w:p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72" w:type="dxa"/>
            <w:gridSpan w:val="10"/>
            <w:shd w:val="clear" w:color="auto" w:fill="auto"/>
          </w:tcPr>
          <w:p w:rsidR="00500A66" w:rsidRDefault="00500A66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500A66" w:rsidRPr="00E04848">
        <w:trPr>
          <w:gridBefore w:val="1"/>
          <w:wBefore w:w="221" w:type="dxa"/>
          <w:trHeight w:val="443"/>
        </w:trPr>
        <w:tc>
          <w:tcPr>
            <w:tcW w:w="2629" w:type="dxa"/>
            <w:gridSpan w:val="2"/>
            <w:vMerge/>
            <w:shd w:val="clear" w:color="auto" w:fill="auto"/>
          </w:tcPr>
          <w:p w:rsidR="00500A66" w:rsidRDefault="00500A6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572" w:type="dxa"/>
            <w:gridSpan w:val="10"/>
            <w:shd w:val="clear" w:color="auto" w:fill="auto"/>
          </w:tcPr>
          <w:p w:rsidR="00500A66" w:rsidRDefault="00291087">
            <w:pPr>
              <w:ind w:left="-58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color w:val="000000"/>
                <w:sz w:val="16"/>
                <w:szCs w:val="16"/>
                <w:lang w:val="uk-UA"/>
              </w:rPr>
              <w:t>(зазначається повне і точне найменування юридичної особи / відокремленого підрозділу/прізвище, ім'я, по батькові  фізичної особи підприємця/фізичної особи, що провадить незалежну професійну діяльність)</w:t>
            </w:r>
          </w:p>
        </w:tc>
      </w:tr>
      <w:tr w:rsidR="00500A66">
        <w:trPr>
          <w:gridBefore w:val="1"/>
          <w:wBefore w:w="221" w:type="dxa"/>
          <w:trHeight w:hRule="exact" w:val="1125"/>
        </w:trPr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A66" w:rsidRDefault="0029108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Код ЄДРПОУ / Реєстраційний (обліковий) номер платника податків або реєстраційний номер облікової  картки платника податків</w:t>
            </w:r>
            <w:r>
              <w:rPr>
                <w:rStyle w:val="a3"/>
                <w:sz w:val="20"/>
                <w:szCs w:val="20"/>
                <w:lang w:val="uk-UA"/>
              </w:rPr>
              <w:footnoteReference w:id="1"/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(за наявності)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500A66">
        <w:trPr>
          <w:gridBefore w:val="1"/>
          <w:wBefore w:w="221" w:type="dxa"/>
          <w:trHeight w:hRule="exact" w:val="291"/>
        </w:trPr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A66" w:rsidRDefault="0029108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Код економічної діяльності</w:t>
            </w:r>
            <w:r>
              <w:rPr>
                <w:rStyle w:val="a3"/>
                <w:sz w:val="20"/>
                <w:szCs w:val="20"/>
                <w:lang w:val="uk-UA"/>
              </w:rPr>
              <w:footnoteReference w:id="2"/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500A66">
        <w:trPr>
          <w:gridBefore w:val="1"/>
          <w:wBefore w:w="221" w:type="dxa"/>
          <w:trHeight w:hRule="exact" w:val="283"/>
        </w:trPr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A66" w:rsidRDefault="0029108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виду економічної діяльності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500A66" w:rsidRPr="00E04848">
        <w:trPr>
          <w:gridBefore w:val="1"/>
          <w:wBefore w:w="221" w:type="dxa"/>
          <w:trHeight w:hRule="exact" w:val="568"/>
        </w:trPr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A66" w:rsidRDefault="0029108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Додаткова інформація: </w:t>
            </w:r>
          </w:p>
          <w:p w:rsidR="00500A66" w:rsidRDefault="00500A6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A66" w:rsidRDefault="00291087">
            <w:pPr>
              <w:tabs>
                <w:tab w:val="left" w:pos="7740"/>
              </w:tabs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________________________________________________________________</w:t>
            </w:r>
            <w:r>
              <w:rPr>
                <w:i/>
                <w:color w:val="000000"/>
                <w:sz w:val="14"/>
                <w:szCs w:val="16"/>
                <w:lang w:val="uk-UA"/>
              </w:rPr>
              <w:t>(Підлягає обов'язковому заповненню у випадках, визначених Інструкцією про порядок відкриття і закриття рахунків клієнтів банків та кореспондентських рахунків банків резидентів і нерезидентів)</w:t>
            </w:r>
          </w:p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500A66">
        <w:trPr>
          <w:gridBefore w:val="1"/>
          <w:wBefore w:w="221" w:type="dxa"/>
          <w:trHeight w:hRule="exact" w:val="239"/>
        </w:trPr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A66" w:rsidRDefault="0029108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00A66">
        <w:trPr>
          <w:gridBefore w:val="1"/>
          <w:wBefore w:w="221" w:type="dxa"/>
          <w:trHeight w:hRule="exact" w:val="271"/>
        </w:trPr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A66" w:rsidRDefault="0029108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Поштова адреса: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00A66">
        <w:trPr>
          <w:gridBefore w:val="1"/>
          <w:wBefore w:w="221" w:type="dxa"/>
          <w:trHeight w:hRule="exact" w:val="435"/>
        </w:trPr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A66" w:rsidRDefault="0029108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ІПН </w:t>
            </w:r>
            <w:r>
              <w:rPr>
                <w:i/>
                <w:sz w:val="20"/>
                <w:szCs w:val="20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A66" w:rsidRDefault="00291087">
            <w:pPr>
              <w:tabs>
                <w:tab w:val="left" w:pos="7740"/>
              </w:tabs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(</w:t>
            </w:r>
            <w:r>
              <w:rPr>
                <w:i/>
                <w:color w:val="008000"/>
                <w:sz w:val="18"/>
                <w:szCs w:val="18"/>
                <w:lang w:val="uk-UA"/>
              </w:rPr>
              <w:t>якщо Клієнт не є платником ПДВ, зазначається «Не є платником ПДВ»)</w:t>
            </w:r>
          </w:p>
        </w:tc>
      </w:tr>
      <w:tr w:rsidR="00F34458" w:rsidTr="00E04848">
        <w:trPr>
          <w:gridBefore w:val="1"/>
          <w:wBefore w:w="221" w:type="dxa"/>
          <w:trHeight w:hRule="exact" w:val="1002"/>
        </w:trPr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4458" w:rsidRDefault="003E40AD" w:rsidP="00E04848">
            <w:pPr>
              <w:jc w:val="both"/>
              <w:rPr>
                <w:sz w:val="20"/>
                <w:szCs w:val="20"/>
                <w:lang w:val="uk-UA"/>
              </w:rPr>
            </w:pPr>
            <w:r w:rsidRPr="003E40AD">
              <w:rPr>
                <w:sz w:val="20"/>
                <w:szCs w:val="20"/>
                <w:lang w:val="uk-UA"/>
              </w:rPr>
              <w:t>Унікальний номер запису в реєстрі (УНЗР) (за наявності- для  фізичної особи підприємця/фізичної особи, що провадить незалежну професійну діяльність)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4458" w:rsidRDefault="00F34458">
            <w:pPr>
              <w:tabs>
                <w:tab w:val="left" w:pos="7740"/>
              </w:tabs>
              <w:rPr>
                <w:i/>
                <w:sz w:val="18"/>
                <w:szCs w:val="18"/>
                <w:lang w:val="uk-UA"/>
              </w:rPr>
            </w:pPr>
          </w:p>
        </w:tc>
      </w:tr>
      <w:tr w:rsidR="00500A66">
        <w:trPr>
          <w:gridBefore w:val="1"/>
          <w:wBefore w:w="221" w:type="dxa"/>
          <w:trHeight w:hRule="exact" w:val="285"/>
        </w:trPr>
        <w:tc>
          <w:tcPr>
            <w:tcW w:w="112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00A66" w:rsidRDefault="00291087">
            <w:pPr>
              <w:numPr>
                <w:ilvl w:val="0"/>
                <w:numId w:val="1"/>
              </w:numPr>
              <w:tabs>
                <w:tab w:val="left" w:pos="459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Контактна інформація Клієнта</w:t>
            </w:r>
          </w:p>
        </w:tc>
      </w:tr>
      <w:tr w:rsidR="00500A66">
        <w:trPr>
          <w:gridBefore w:val="1"/>
          <w:wBefore w:w="221" w:type="dxa"/>
          <w:trHeight w:val="168"/>
        </w:trPr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A66" w:rsidRDefault="0029108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51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500A66">
        <w:trPr>
          <w:gridBefore w:val="1"/>
          <w:wBefore w:w="221" w:type="dxa"/>
          <w:trHeight w:val="185"/>
        </w:trPr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0A66" w:rsidRDefault="0029108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51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500A66">
        <w:trPr>
          <w:gridBefore w:val="1"/>
          <w:wBefore w:w="221" w:type="dxa"/>
          <w:trHeight w:hRule="exact" w:val="285"/>
        </w:trPr>
        <w:tc>
          <w:tcPr>
            <w:tcW w:w="112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00A66" w:rsidRDefault="00291087">
            <w:pPr>
              <w:numPr>
                <w:ilvl w:val="0"/>
                <w:numId w:val="1"/>
              </w:numPr>
              <w:tabs>
                <w:tab w:val="left" w:pos="459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Загальна інформація та умови запитуваних послуг</w:t>
            </w:r>
          </w:p>
        </w:tc>
      </w:tr>
      <w:tr w:rsidR="00500A66">
        <w:trPr>
          <w:gridBefore w:val="1"/>
          <w:wBefore w:w="221" w:type="dxa"/>
          <w:trHeight w:val="2997"/>
        </w:trPr>
        <w:tc>
          <w:tcPr>
            <w:tcW w:w="11201" w:type="dxa"/>
            <w:gridSpan w:val="12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500A66" w:rsidRDefault="0029108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Просимо АБ «УКРГАЗБАНК» (далі – Банк </w:t>
            </w:r>
            <w:r>
              <w:rPr>
                <w:bCs/>
                <w:sz w:val="20"/>
                <w:szCs w:val="20"/>
                <w:lang w:val="uk-UA"/>
              </w:rPr>
              <w:t xml:space="preserve">або </w:t>
            </w:r>
            <w:r>
              <w:rPr>
                <w:sz w:val="20"/>
                <w:szCs w:val="20"/>
              </w:rPr>
              <w:t>КНЕДП</w:t>
            </w:r>
            <w:r>
              <w:rPr>
                <w:sz w:val="20"/>
                <w:szCs w:val="20"/>
                <w:lang w:val="uk-UA"/>
              </w:rPr>
              <w:t>):</w:t>
            </w:r>
          </w:p>
          <w:p w:rsidR="00500A66" w:rsidRDefault="0029108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підключити до наступних Послуг:</w:t>
            </w:r>
          </w:p>
          <w:tbl>
            <w:tblPr>
              <w:tblW w:w="9347" w:type="dxa"/>
              <w:tblInd w:w="826" w:type="dxa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326"/>
              <w:gridCol w:w="8771"/>
            </w:tblGrid>
            <w:tr w:rsidR="00500A66">
              <w:trPr>
                <w:trHeight w:val="168"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0A66" w:rsidRDefault="00500A66">
                  <w:pPr>
                    <w:jc w:val="both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0A66" w:rsidRDefault="00291087">
                  <w:pPr>
                    <w:jc w:val="both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uk-UA"/>
                    </w:rPr>
                    <w:t>–</w:t>
                  </w:r>
                </w:p>
              </w:tc>
              <w:tc>
                <w:tcPr>
                  <w:tcW w:w="8771" w:type="dxa"/>
                  <w:shd w:val="clear" w:color="auto" w:fill="auto"/>
                </w:tcPr>
                <w:p w:rsidR="00500A66" w:rsidRDefault="00291087">
                  <w:pPr>
                    <w:ind w:left="-126"/>
                    <w:jc w:val="both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uk-UA"/>
                    </w:rPr>
                    <w:t xml:space="preserve">комплексне банківське обслуговування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  <w:lang w:val="uk-UA"/>
                    </w:rPr>
                    <w:t>(без засобів Системи)</w:t>
                  </w:r>
                  <w:r>
                    <w:rPr>
                      <w:i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500A66">
              <w:trPr>
                <w:trHeight w:val="72"/>
              </w:trPr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00A66" w:rsidRDefault="00500A66">
                  <w:pPr>
                    <w:jc w:val="both"/>
                    <w:rPr>
                      <w:rFonts w:eastAsia="Times New Roman"/>
                      <w:sz w:val="8"/>
                      <w:szCs w:val="20"/>
                      <w:lang w:val="uk-UA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</w:tcPr>
                <w:p w:rsidR="00500A66" w:rsidRDefault="00500A66">
                  <w:pPr>
                    <w:jc w:val="both"/>
                    <w:rPr>
                      <w:rFonts w:eastAsia="Times New Roman"/>
                      <w:sz w:val="16"/>
                      <w:szCs w:val="20"/>
                      <w:lang w:val="uk-UA"/>
                    </w:rPr>
                  </w:pPr>
                </w:p>
              </w:tc>
              <w:tc>
                <w:tcPr>
                  <w:tcW w:w="8771" w:type="dxa"/>
                  <w:shd w:val="clear" w:color="auto" w:fill="auto"/>
                </w:tcPr>
                <w:p w:rsidR="00500A66" w:rsidRDefault="00500A66">
                  <w:pPr>
                    <w:jc w:val="both"/>
                    <w:rPr>
                      <w:rFonts w:eastAsia="Times New Roman"/>
                      <w:sz w:val="8"/>
                      <w:szCs w:val="20"/>
                      <w:lang w:val="uk-UA"/>
                    </w:rPr>
                  </w:pPr>
                </w:p>
              </w:tc>
            </w:tr>
            <w:tr w:rsidR="00500A66">
              <w:trPr>
                <w:trHeight w:val="159"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0A66" w:rsidRDefault="00500A66">
                  <w:pPr>
                    <w:jc w:val="both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0A66" w:rsidRDefault="00291087">
                  <w:pPr>
                    <w:jc w:val="both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uk-UA"/>
                    </w:rPr>
                    <w:t>–</w:t>
                  </w:r>
                </w:p>
              </w:tc>
              <w:tc>
                <w:tcPr>
                  <w:tcW w:w="8771" w:type="dxa"/>
                  <w:shd w:val="clear" w:color="auto" w:fill="auto"/>
                </w:tcPr>
                <w:p w:rsidR="00500A66" w:rsidRDefault="00291087">
                  <w:pPr>
                    <w:ind w:left="-126"/>
                    <w:jc w:val="both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uk-UA"/>
                    </w:rPr>
                    <w:t xml:space="preserve">комплексне банківське обслуговування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  <w:lang w:val="uk-UA"/>
                    </w:rPr>
                    <w:t>(в т.ч. засобами Системи)</w:t>
                  </w:r>
                </w:p>
              </w:tc>
            </w:tr>
          </w:tbl>
          <w:p w:rsidR="00500A66" w:rsidRDefault="00500A66">
            <w:pPr>
              <w:ind w:left="720"/>
              <w:jc w:val="both"/>
              <w:rPr>
                <w:sz w:val="8"/>
                <w:szCs w:val="20"/>
                <w:lang w:val="uk-UA"/>
              </w:rPr>
            </w:pPr>
          </w:p>
          <w:p w:rsidR="00500A66" w:rsidRDefault="0029108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встановити плату, визначену на підставі та у відповідності з затвердженими Тарифами Банку, що є невід’ємною частиною </w:t>
            </w:r>
            <w:r>
              <w:rPr>
                <w:b/>
                <w:sz w:val="20"/>
                <w:szCs w:val="20"/>
                <w:lang w:val="uk-UA"/>
              </w:rPr>
              <w:t>Договору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uk-UA"/>
              </w:rPr>
              <w:t>комплексного банківського обслуговування суб’єктів господарювання</w:t>
            </w:r>
            <w:r>
              <w:rPr>
                <w:sz w:val="20"/>
                <w:szCs w:val="20"/>
                <w:lang w:val="uk-UA"/>
              </w:rPr>
              <w:t>, та розміщені на офіційному сайті Банку по:</w:t>
            </w:r>
          </w:p>
          <w:p w:rsidR="00500A66" w:rsidRDefault="00500A66">
            <w:pPr>
              <w:ind w:left="720"/>
              <w:jc w:val="both"/>
              <w:rPr>
                <w:sz w:val="10"/>
                <w:szCs w:val="10"/>
                <w:lang w:val="uk-UA"/>
              </w:rPr>
            </w:pPr>
          </w:p>
          <w:tbl>
            <w:tblPr>
              <w:tblW w:w="10541" w:type="dxa"/>
              <w:tblInd w:w="675" w:type="dxa"/>
              <w:tblLayout w:type="fixed"/>
              <w:tblLook w:val="04A0" w:firstRow="1" w:lastRow="0" w:firstColumn="1" w:lastColumn="0" w:noHBand="0" w:noVBand="1"/>
            </w:tblPr>
            <w:tblGrid>
              <w:gridCol w:w="6355"/>
              <w:gridCol w:w="3876"/>
              <w:gridCol w:w="310"/>
            </w:tblGrid>
            <w:tr w:rsidR="00500A66">
              <w:trPr>
                <w:gridAfter w:val="1"/>
                <w:wAfter w:w="310" w:type="dxa"/>
                <w:trHeight w:val="245"/>
              </w:trPr>
              <w:tc>
                <w:tcPr>
                  <w:tcW w:w="10231" w:type="dxa"/>
                  <w:gridSpan w:val="2"/>
                  <w:shd w:val="clear" w:color="auto" w:fill="auto"/>
                </w:tcPr>
                <w:p w:rsidR="00500A66" w:rsidRDefault="00291087">
                  <w:pPr>
                    <w:numPr>
                      <w:ilvl w:val="0"/>
                      <w:numId w:val="3"/>
                    </w:numPr>
                    <w:ind w:left="176" w:hanging="142"/>
                    <w:jc w:val="both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uk-UA"/>
                    </w:rPr>
                    <w:t>розрахунково-касовому обслуговуванню по Рахунку(ах):</w:t>
                  </w:r>
                </w:p>
                <w:p w:rsidR="00500A66" w:rsidRDefault="00291087">
                  <w:pPr>
                    <w:ind w:left="176"/>
                    <w:jc w:val="both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uk-UA"/>
                    </w:rPr>
                    <w:t>№</w:t>
                  </w:r>
                  <w:r>
                    <w:rPr>
                      <w:rStyle w:val="a3"/>
                      <w:rFonts w:eastAsia="Times New Roman"/>
                      <w:sz w:val="20"/>
                      <w:szCs w:val="20"/>
                      <w:lang w:val="uk-UA"/>
                    </w:rPr>
                    <w:footnoteReference w:id="3"/>
                  </w:r>
                  <w:r>
                    <w:rPr>
                      <w:rFonts w:eastAsia="Times New Roman"/>
                      <w:sz w:val="20"/>
                      <w:szCs w:val="20"/>
                      <w:lang w:val="uk-UA"/>
                    </w:rPr>
                    <w:t>________________________ на умовах тарифного плану __________________________</w:t>
                  </w:r>
                </w:p>
                <w:p w:rsidR="00500A66" w:rsidRDefault="00291087">
                  <w:pPr>
                    <w:ind w:left="176"/>
                    <w:jc w:val="both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uk-UA"/>
                    </w:rPr>
                    <w:t>№________________________ на умовах тарифного плану __________________________</w:t>
                  </w:r>
                </w:p>
                <w:p w:rsidR="00500A66" w:rsidRDefault="00291087">
                  <w:pPr>
                    <w:ind w:left="176"/>
                    <w:jc w:val="both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uk-UA"/>
                    </w:rPr>
                    <w:t>№________________________ на умовах тарифного плану __________________________</w:t>
                  </w:r>
                </w:p>
                <w:p w:rsidR="00500A66" w:rsidRDefault="00500A66">
                  <w:pPr>
                    <w:ind w:left="176"/>
                    <w:jc w:val="both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00A66">
              <w:trPr>
                <w:trHeight w:val="379"/>
              </w:trPr>
              <w:tc>
                <w:tcPr>
                  <w:tcW w:w="6355" w:type="dxa"/>
                  <w:shd w:val="clear" w:color="auto" w:fill="auto"/>
                  <w:vAlign w:val="bottom"/>
                </w:tcPr>
                <w:p w:rsidR="00500A66" w:rsidRDefault="00291087">
                  <w:pPr>
                    <w:numPr>
                      <w:ilvl w:val="0"/>
                      <w:numId w:val="4"/>
                    </w:numPr>
                    <w:ind w:left="176" w:right="-108" w:hanging="142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uk-UA"/>
                    </w:rPr>
                    <w:t>дистанційному обслуговуванню системи  на умовах Тарифного плану</w:t>
                  </w:r>
                </w:p>
              </w:tc>
              <w:tc>
                <w:tcPr>
                  <w:tcW w:w="4186" w:type="dxa"/>
                  <w:gridSpan w:val="2"/>
                  <w:shd w:val="clear" w:color="auto" w:fill="auto"/>
                  <w:vAlign w:val="bottom"/>
                </w:tcPr>
                <w:p w:rsidR="00500A66" w:rsidRDefault="00291087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uk-UA"/>
                    </w:rPr>
                    <w:t>______________________________</w:t>
                  </w:r>
                </w:p>
              </w:tc>
            </w:tr>
          </w:tbl>
          <w:p w:rsidR="00500A66" w:rsidRDefault="00291087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>
              <w:rPr>
                <w:i/>
                <w:color w:val="00B050"/>
                <w:sz w:val="18"/>
                <w:szCs w:val="20"/>
                <w:lang w:val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якщо Клієнт має декілька поточних рахунків, для зазначення рахунку для першочергового списання комісій банку Заява на визначення послуг доповнюється наступними пунктами &gt;</w:t>
            </w:r>
          </w:p>
          <w:p w:rsidR="00500A66" w:rsidRDefault="00291087">
            <w:pPr>
              <w:pStyle w:val="af6"/>
              <w:numPr>
                <w:ilvl w:val="0"/>
                <w:numId w:val="2"/>
              </w:numPr>
              <w:tabs>
                <w:tab w:val="left" w:pos="7740"/>
              </w:tabs>
              <w:ind w:right="-10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Рахунок для утримання комісії банку _________________________</w:t>
            </w:r>
          </w:p>
          <w:p w:rsidR="00500A66" w:rsidRDefault="00500A66">
            <w:pPr>
              <w:tabs>
                <w:tab w:val="left" w:pos="7740"/>
              </w:tabs>
              <w:ind w:right="-108"/>
              <w:rPr>
                <w:sz w:val="20"/>
                <w:szCs w:val="20"/>
                <w:lang w:val="uk-UA" w:eastAsia="uk-UA"/>
              </w:rPr>
            </w:pPr>
          </w:p>
          <w:p w:rsidR="00500A66" w:rsidRDefault="00291087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>
              <w:rPr>
                <w:i/>
                <w:color w:val="00B050"/>
                <w:sz w:val="18"/>
                <w:szCs w:val="20"/>
                <w:lang w:val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якщо Клієнт відкриває рахунок умовного зберігання (ескроу) (далі – Рахунок ескроу) для здійснення операцій згідно Закону України «Про ринок електричної енергії»  на ринку РДН/ВДР відповідно до Правил ринку «на добу наперед» та внутрішньодобового ринку, затверджених постановою Національної комісії, що здійснює державне регулювання у сферах енергетики та комунальних послуг, від 14 березня 2018 року № 308, Заява на визначення послуг доповнюється наступними пунктами &gt;</w:t>
            </w:r>
          </w:p>
          <w:p w:rsidR="00500A66" w:rsidRDefault="00500A66">
            <w:pPr>
              <w:tabs>
                <w:tab w:val="left" w:pos="7740"/>
              </w:tabs>
              <w:ind w:right="-108"/>
              <w:rPr>
                <w:sz w:val="20"/>
                <w:szCs w:val="20"/>
                <w:lang w:val="uk-UA" w:eastAsia="uk-UA"/>
              </w:rPr>
            </w:pPr>
          </w:p>
          <w:p w:rsidR="00500A66" w:rsidRDefault="00291087">
            <w:pPr>
              <w:pStyle w:val="af6"/>
              <w:numPr>
                <w:ilvl w:val="0"/>
                <w:numId w:val="2"/>
              </w:numPr>
              <w:tabs>
                <w:tab w:val="left" w:pos="7740"/>
              </w:tabs>
              <w:ind w:right="-10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Поточний рахунок для перерахування залишку коштів після закриття рахунку (якщо рахунок не визначений документами Оператора ринку відповідно до умов договору) __________</w:t>
            </w:r>
          </w:p>
          <w:p w:rsidR="00500A66" w:rsidRDefault="00500A66">
            <w:pPr>
              <w:tabs>
                <w:tab w:val="left" w:pos="7740"/>
              </w:tabs>
              <w:ind w:right="-108"/>
              <w:rPr>
                <w:sz w:val="20"/>
                <w:szCs w:val="20"/>
                <w:lang w:val="uk-UA" w:eastAsia="uk-UA"/>
              </w:rPr>
            </w:pPr>
          </w:p>
          <w:p w:rsidR="00500A66" w:rsidRDefault="00500A66">
            <w:pPr>
              <w:rPr>
                <w:sz w:val="20"/>
                <w:szCs w:val="20"/>
                <w:lang w:val="uk-UA"/>
              </w:rPr>
            </w:pPr>
          </w:p>
          <w:p w:rsidR="00500A66" w:rsidRDefault="00291087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>
              <w:rPr>
                <w:i/>
                <w:color w:val="00B050"/>
                <w:sz w:val="16"/>
                <w:szCs w:val="16"/>
                <w:lang w:val="uk-UA" w:eastAsia="uk-UA"/>
              </w:rPr>
              <w:lastRenderedPageBreak/>
              <w:t>якщо Клієнт – юридична особа, Заява-Договір  доповнюється інформацією про строки здавання виручки,  обрати один варіант&gt;</w:t>
            </w:r>
          </w:p>
          <w:p w:rsidR="00500A66" w:rsidRDefault="00291087">
            <w:pPr>
              <w:tabs>
                <w:tab w:val="left" w:pos="7740"/>
              </w:tabs>
              <w:ind w:right="-10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Зазначаємо строки здавання готівкової виручки: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4111"/>
              <w:gridCol w:w="3260"/>
            </w:tblGrid>
            <w:tr w:rsidR="00500A66">
              <w:tc>
                <w:tcPr>
                  <w:tcW w:w="3289" w:type="dxa"/>
                  <w:shd w:val="clear" w:color="auto" w:fill="auto"/>
                </w:tcPr>
                <w:p w:rsidR="00500A66" w:rsidRDefault="00291087">
                  <w:pPr>
                    <w:tabs>
                      <w:tab w:val="left" w:pos="7740"/>
                    </w:tabs>
                    <w:ind w:right="-108"/>
                    <w:rPr>
                      <w:color w:val="000000"/>
                      <w:spacing w:val="-80"/>
                      <w:position w:val="-4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000000"/>
                      <w:spacing w:val="-80"/>
                      <w:position w:val="-4"/>
                      <w:sz w:val="20"/>
                      <w:szCs w:val="20"/>
                      <w:lang w:val="uk-UA"/>
                    </w:rPr>
                    <w:sym w:font="Wingdings 2" w:char="F0A3"/>
                  </w:r>
                  <w:r>
                    <w:rPr>
                      <w:color w:val="000000"/>
                      <w:spacing w:val="-80"/>
                      <w:position w:val="-4"/>
                      <w:sz w:val="20"/>
                      <w:szCs w:val="20"/>
                      <w:lang w:val="uk-UA"/>
                    </w:rPr>
                    <w:t xml:space="preserve">             </w:t>
                  </w:r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  у</w:t>
                  </w:r>
                  <w:r>
                    <w:rPr>
                      <w:iCs/>
                      <w:sz w:val="20"/>
                      <w:szCs w:val="20"/>
                      <w:lang w:val="uk-UA"/>
                    </w:rPr>
                    <w:t xml:space="preserve"> день надходження готівкової виручки (готівки) до каси Клієнта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00A66" w:rsidRDefault="00291087">
                  <w:pPr>
                    <w:tabs>
                      <w:tab w:val="left" w:pos="7740"/>
                    </w:tabs>
                    <w:ind w:right="-108"/>
                    <w:rPr>
                      <w:color w:val="000000"/>
                      <w:spacing w:val="-80"/>
                      <w:position w:val="-4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000000"/>
                      <w:spacing w:val="-80"/>
                      <w:position w:val="-4"/>
                      <w:sz w:val="20"/>
                      <w:szCs w:val="20"/>
                      <w:lang w:val="uk-UA"/>
                    </w:rPr>
                    <w:sym w:font="Wingdings 2" w:char="F0A3"/>
                  </w:r>
                  <w:r>
                    <w:rPr>
                      <w:color w:val="000000"/>
                      <w:spacing w:val="-80"/>
                      <w:position w:val="-4"/>
                      <w:sz w:val="20"/>
                      <w:szCs w:val="20"/>
                      <w:lang w:val="uk-UA"/>
                    </w:rPr>
                    <w:t xml:space="preserve">             </w:t>
                  </w:r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  наступного робочого дня після надходження готівкової виручки (готівки) до каси Клієнта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00A66" w:rsidRDefault="00291087">
                  <w:pPr>
                    <w:tabs>
                      <w:tab w:val="left" w:pos="7740"/>
                    </w:tabs>
                    <w:ind w:right="-108"/>
                    <w:rPr>
                      <w:color w:val="000000"/>
                      <w:spacing w:val="-80"/>
                      <w:position w:val="-4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000000"/>
                      <w:spacing w:val="-80"/>
                      <w:position w:val="-4"/>
                      <w:sz w:val="20"/>
                      <w:szCs w:val="20"/>
                      <w:lang w:val="uk-UA"/>
                    </w:rPr>
                    <w:sym w:font="Wingdings 2" w:char="F0A3"/>
                  </w:r>
                  <w:r>
                    <w:rPr>
                      <w:color w:val="000000"/>
                      <w:spacing w:val="-80"/>
                      <w:position w:val="-4"/>
                      <w:sz w:val="20"/>
                      <w:szCs w:val="20"/>
                      <w:lang w:val="uk-UA"/>
                    </w:rPr>
                    <w:t xml:space="preserve">             </w:t>
                  </w:r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  </w:t>
                  </w:r>
                  <w:r>
                    <w:rPr>
                      <w:iCs/>
                      <w:sz w:val="20"/>
                      <w:szCs w:val="20"/>
                      <w:lang w:val="uk-UA"/>
                    </w:rPr>
                    <w:t>не рідше, ніж один раз на п’ять робочих днів</w:t>
                  </w:r>
                </w:p>
              </w:tc>
            </w:tr>
          </w:tbl>
          <w:p w:rsidR="00500A66" w:rsidRDefault="00500A66">
            <w:pPr>
              <w:rPr>
                <w:sz w:val="20"/>
                <w:szCs w:val="20"/>
                <w:lang w:val="uk-UA"/>
              </w:rPr>
            </w:pPr>
          </w:p>
          <w:p w:rsidR="00500A66" w:rsidRDefault="0029108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Я, _______________</w:t>
            </w:r>
            <w:r>
              <w:rPr>
                <w:rStyle w:val="a3"/>
                <w:sz w:val="20"/>
                <w:szCs w:val="20"/>
                <w:lang w:val="uk-UA"/>
              </w:rPr>
              <w:footnoteReference w:id="4"/>
            </w:r>
            <w:r>
              <w:rPr>
                <w:sz w:val="20"/>
                <w:szCs w:val="20"/>
                <w:lang w:val="uk-UA"/>
              </w:rPr>
              <w:t xml:space="preserve"> підписанням  цієї Заяви на визначення послуг до Договору комплексного банківського обслуговування суб’єктів господарювання (далі – Договір) підтверджую:</w:t>
            </w:r>
          </w:p>
          <w:p w:rsidR="00500A66" w:rsidRDefault="0029108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Акцептування мною цієї Заяви на визначення послуг до Договору. </w:t>
            </w:r>
          </w:p>
          <w:p w:rsidR="00500A66" w:rsidRDefault="0029108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Всі умови Договору та діючих в Банку Тарифів мені зрозумілі та не потребують додаткового тлумачення, свій примірник цієї Заяви на визначення послуг до Договору я отримав(ла) в день акцептування мною цієї Заяви на визначення послуг до Договору.</w:t>
            </w:r>
          </w:p>
          <w:p w:rsidR="00500A66" w:rsidRDefault="0029108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Вся інформація, надана мною до Банку, є повною, достовірною у всіх відношеннях, і я зобов’язуюсь повідомляти Банк про будь-які зміни цієї інформації, що можуть статися протягом терміну дії Договору, не пізніше, ніж через 30 календарних днів з дня набрання чинності цих змін.</w:t>
            </w:r>
          </w:p>
          <w:p w:rsidR="00500A66" w:rsidRDefault="0029108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Отримання від Банку інформацію, зазначену в частині другій статті 12 ЗУ «Про фінансові послуги та державне регулювання ринків фінансових послуг», до підписання цієї Заяви на визначення послуг до Договору.</w:t>
            </w:r>
          </w:p>
          <w:p w:rsidR="00500A66" w:rsidRDefault="00291087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Отримання свого примірника Договору в день укладення (підписання);</w:t>
            </w:r>
          </w:p>
          <w:p w:rsidR="00500A66" w:rsidRDefault="00291087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  <w:lang w:eastAsia="ja-JP"/>
              </w:rPr>
            </w:pPr>
            <w:r>
              <w:rPr>
                <w:color w:val="auto"/>
                <w:sz w:val="20"/>
                <w:szCs w:val="20"/>
                <w:lang w:eastAsia="ja-JP"/>
              </w:rPr>
              <w:t>Підтверджую, що  ознайомився з Регламентом КНЕДП, мені  зрозумілі всі положення Регламенту КНЕДП, погоджуюся з його положеннями та зобов’язуюсь дотримуватись Регламенту КНЕДП. Зміни, які можуть вноситися Банком до Регламенту КНЕДП, не потребують додаткового оформлення Сторонами змін до Заяви - Договору.</w:t>
            </w:r>
          </w:p>
          <w:p w:rsidR="00500A66" w:rsidRDefault="00291087">
            <w:pPr>
              <w:pStyle w:val="af6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Погоджуюся із наданням КНЕДП Сертифікатів відкритих ключів, сформованих для Клієнта  іншим особам, у відносинах із якими Клієнт використовує Відкриті ключі. </w:t>
            </w:r>
          </w:p>
          <w:p w:rsidR="00500A66" w:rsidRDefault="00291087">
            <w:pPr>
              <w:pStyle w:val="af6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Погоджуюсь із наданням КНЕДП інформації про статус Сертифікатів відкритих ключів, сформованих для Клієнта (чинний, скасований і блокований) будь-яким іншим особам, які звертаються до КНЕДП за отриманням цієї інформації. </w:t>
            </w:r>
          </w:p>
          <w:p w:rsidR="00500A66" w:rsidRDefault="00291087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  <w:lang w:eastAsia="ja-JP"/>
              </w:rPr>
            </w:pPr>
            <w:r>
              <w:rPr>
                <w:color w:val="auto"/>
                <w:sz w:val="20"/>
                <w:szCs w:val="20"/>
                <w:lang w:eastAsia="ja-JP"/>
              </w:rPr>
              <w:t>Погоджуюсь на надання доступу до сформованих для Клієнта Сертифікатів відкритих ключів іншим користувачам, шляхом їх надання, за відповідним пошуковим запитом, на ресурсі КНЕДП.</w:t>
            </w:r>
          </w:p>
          <w:p w:rsidR="00500A66" w:rsidRDefault="00291087">
            <w:pPr>
              <w:pStyle w:val="Default"/>
              <w:jc w:val="both"/>
              <w:rPr>
                <w:color w:val="auto"/>
                <w:sz w:val="20"/>
                <w:szCs w:val="20"/>
                <w:lang w:eastAsia="ja-JP"/>
              </w:rPr>
            </w:pPr>
            <w:r>
              <w:rPr>
                <w:i/>
                <w:color w:val="00B050"/>
                <w:sz w:val="18"/>
                <w:szCs w:val="18"/>
              </w:rPr>
              <w:t>&lt;1.У випадку підписання Заяви на визначення послуг кваліфікованим електронним підписом та використання процедури віддаленої ідентифікації та відеоверифікації Клієнта&gt;</w:t>
            </w:r>
          </w:p>
          <w:p w:rsidR="00500A66" w:rsidRDefault="00291087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Надаю згоду, що Довідка про відкриття рахунку на умовах цього Договору може бути направлена Банком електронними каналами зв‘язку, в тому числі засобами електронних сервісів </w:t>
            </w:r>
            <w:r>
              <w:rPr>
                <w:i/>
                <w:color w:val="00B050"/>
                <w:sz w:val="18"/>
                <w:szCs w:val="18"/>
              </w:rPr>
              <w:t>&lt;зазначається назва електронного сервісу, через який здійснюється обмін інформацією та підписання договору: зокрема, але не виключно “ВЧАСНО” або “СОТА”&gt;</w:t>
            </w:r>
            <w:r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:rsidR="00500A66" w:rsidRDefault="0029108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&lt; 2.Заява доповнюється наступним в разі зміни умов обслуговування для діючого Клієнта&gt;</w:t>
            </w:r>
          </w:p>
          <w:p w:rsidR="00500A66" w:rsidRDefault="00291087">
            <w:pPr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«__» ____________ 20__ договори, за якими Банком надавались Клієнту послуги розрахунково-касового обслуговування та/або дистанційного обслуговування та/або обслуговування клієнта в Системі, втрачають чинність та  рахунки, які обслуговувались в рамках таких договорів, з дати визначеної цим пунктом, обслуговуватимуться на умовах Договору та обумовлених Тарифів.</w:t>
            </w:r>
          </w:p>
          <w:p w:rsidR="00500A66" w:rsidRDefault="00291087">
            <w:pPr>
              <w:jc w:val="both"/>
              <w:rPr>
                <w:i/>
                <w:color w:val="00B05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&lt;3 . якщо Клієнт – фізична особа-підприємець</w:t>
            </w:r>
            <w:r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 xml:space="preserve"> або фізична особа, що провадить незалежну професійну діяльність</w:t>
            </w:r>
            <w:r>
              <w:rPr>
                <w:i/>
                <w:color w:val="00B050"/>
                <w:sz w:val="18"/>
                <w:szCs w:val="20"/>
                <w:lang w:val="uk-UA"/>
              </w:rPr>
              <w:t>, Заява на визначення послуг  доповнюється наступним&gt;</w:t>
            </w:r>
          </w:p>
          <w:p w:rsidR="00500A66" w:rsidRDefault="00291087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Прошу вважати наведений у цій Заяві на визначення послуг зразок мого підпису обов'язковим при здійсненні операцій за всіма рахунками, які відкриті або будуть відкриті мені в Банку;</w:t>
            </w:r>
          </w:p>
          <w:p w:rsidR="00500A66" w:rsidRDefault="00291087">
            <w:pPr>
              <w:pStyle w:val="af6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Підтверджую ознайомлення з умовами відшкодування </w:t>
            </w:r>
            <w:r>
              <w:rPr>
                <w:rFonts w:eastAsia="Calibri"/>
                <w:sz w:val="20"/>
                <w:szCs w:val="20"/>
                <w:lang w:val="uk-UA"/>
              </w:rPr>
              <w:t>Фондом гарантування вкладів фізичних осіб</w:t>
            </w:r>
            <w:r>
              <w:rPr>
                <w:sz w:val="20"/>
                <w:szCs w:val="20"/>
                <w:lang w:val="uk-UA"/>
              </w:rPr>
              <w:t xml:space="preserve"> коштів, що розміщені на Рахунку(ах), відкритому(их) на умовах Договору .</w:t>
            </w:r>
          </w:p>
          <w:p w:rsidR="00500A66" w:rsidRDefault="00291087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Підтверджую ознайомлення з довідкою про систему гарантування вкладів фізичних осіб,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вкладників, затвердженої рішенням виконавчої дирекції Фонду гарантування вкладів фізичних осіб від 26.05.2016 № 825;</w:t>
            </w:r>
          </w:p>
          <w:p w:rsidR="00500A66" w:rsidRDefault="00291087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</w:t>
            </w:r>
            <w:hyperlink r:id="rId9" w:history="1">
              <w:r>
                <w:rPr>
                  <w:rStyle w:val="a5"/>
                  <w:sz w:val="20"/>
                  <w:szCs w:val="20"/>
                </w:rPr>
                <w:t>https://www.ukrgasbank.com/private/deposits/guarantee/</w:t>
              </w:r>
            </w:hyperlink>
            <w:r>
              <w:rPr>
                <w:rStyle w:val="a5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:rsidR="00500A66" w:rsidRDefault="00500A66">
            <w:pPr>
              <w:pStyle w:val="Default"/>
              <w:rPr>
                <w:bCs/>
                <w:sz w:val="20"/>
                <w:szCs w:val="20"/>
              </w:rPr>
            </w:pPr>
          </w:p>
          <w:p w:rsidR="00500A66" w:rsidRDefault="00291087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>
              <w:rPr>
                <w:i/>
                <w:color w:val="00B050"/>
                <w:sz w:val="18"/>
                <w:szCs w:val="20"/>
                <w:lang w:val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якщо Клієнт відкриває рахунок умовного зберігання (ескроу) (далі – Рахунок ескроу) для здійснення операцій згідно Закону України «Про ринок електричної енергії»  на ринку РДН/ВДР відповідно до Правил ринку «на добу наперед» та внутрішньодобового ринку, затверджених постановою Національної комісії, що здійснює державне регулювання у сферах енергетики та комунальних послуг, від 14 березня 2018 року № 308, Заява на визначення послуг доповнюється наступними пунктами &gt;</w:t>
            </w:r>
          </w:p>
          <w:p w:rsidR="00500A66" w:rsidRDefault="00500A66">
            <w:pPr>
              <w:tabs>
                <w:tab w:val="left" w:pos="7740"/>
              </w:tabs>
              <w:ind w:right="-108"/>
              <w:rPr>
                <w:sz w:val="20"/>
                <w:szCs w:val="20"/>
                <w:lang w:val="uk-UA" w:eastAsia="uk-UA"/>
              </w:rPr>
            </w:pPr>
          </w:p>
          <w:p w:rsidR="00500A66" w:rsidRDefault="00291087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метою забезпечення розрахунків відповідно до Правил НКРЕКП 308 та Закону про ринок електричної енергії, доручаю Банку та надаю йому право на:</w:t>
            </w:r>
          </w:p>
          <w:p w:rsidR="00500A66" w:rsidRDefault="00291087">
            <w:pPr>
              <w:pStyle w:val="af6"/>
              <w:numPr>
                <w:ilvl w:val="0"/>
                <w:numId w:val="2"/>
              </w:numPr>
              <w:tabs>
                <w:tab w:val="left" w:pos="7740"/>
              </w:tabs>
              <w:ind w:right="-108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надання Оператору ринку інформації щодо Рахунку ескроу, що становить банківську таємницю, каналами зв‘язку, визначеними цим Договором, договором Банку з Оператором ринку, нормативними документами Регулятора та/або Оператора ринку;</w:t>
            </w:r>
          </w:p>
          <w:p w:rsidR="00500A66" w:rsidRDefault="00291087">
            <w:pPr>
              <w:pStyle w:val="af6"/>
              <w:numPr>
                <w:ilvl w:val="0"/>
                <w:numId w:val="2"/>
              </w:numPr>
              <w:tabs>
                <w:tab w:val="left" w:pos="7740"/>
              </w:tabs>
              <w:ind w:right="-108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надання Оператору ринку доступу до Рахунку ескроу засобами Системи в обсязі, на умовах та в спосіб, передбачений цим Договором, договором Банку з Оператором ринку, нормативними документами Регулятора та/або Оператора ринку, в тому числі доступ до перегляду Рахунку ескроу Клієнта в будь-який час без обмежень та право отримувати будь-яку іншу інформацію щодо Рахунку ескроу для належного виконання ним своїх зобов’язань за Договором та вимог Правил НКРЕКП 308;</w:t>
            </w:r>
          </w:p>
          <w:p w:rsidR="00500A66" w:rsidRDefault="00291087">
            <w:pPr>
              <w:pStyle w:val="af6"/>
              <w:numPr>
                <w:ilvl w:val="0"/>
                <w:numId w:val="2"/>
              </w:numPr>
              <w:tabs>
                <w:tab w:val="left" w:pos="7740"/>
              </w:tabs>
              <w:ind w:right="-108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надання Оператору ринку можливості створення та подання до Банку засобами такої Системи інформації та електронних розрахункових документів (чи інших Платіжних інструментів у визначений законодавством спосіб), необхідних для ініціювання операцій за Рахунками ескроу Учасників РДН/ВДР;</w:t>
            </w:r>
          </w:p>
          <w:p w:rsidR="00500A66" w:rsidRDefault="00291087">
            <w:pPr>
              <w:pStyle w:val="af6"/>
              <w:numPr>
                <w:ilvl w:val="0"/>
                <w:numId w:val="2"/>
              </w:numPr>
              <w:tabs>
                <w:tab w:val="left" w:pos="7740"/>
              </w:tabs>
              <w:ind w:right="-108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надання Оператору ринку інформації про рух коштів та залишки коштів по Рахунках ескроу Учасників РДН/ВДР</w:t>
            </w:r>
          </w:p>
          <w:p w:rsidR="00500A66" w:rsidRDefault="00291087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розпорядження Рахунком ескроу здійснюється уповноваженими особами Оператора ринку, зазначеними в Переліку осіб, яким надано право розпорядження рахунками (Рахунки умовного зберігання (Рахунки ескроу), наданому Оператором ринку (або такого, що буде наданий в майбутньому), та не потребує додаткового погодження Клієнтом.</w:t>
            </w:r>
          </w:p>
          <w:p w:rsidR="00500A66" w:rsidRDefault="00291087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 до Рахунку ескроу та право розпорядження коштами при здійсненні операцій за Рахунком ескроу надається Банком Оператору ринку на підставі Заяви-Дозволу Клієнта, що є Додатком №1 до </w:t>
            </w:r>
            <w:r>
              <w:rPr>
                <w:sz w:val="20"/>
                <w:szCs w:val="20"/>
                <w:lang w:val="ru-RU"/>
              </w:rPr>
              <w:t>Заяви на визначення послуг</w:t>
            </w:r>
            <w:r>
              <w:rPr>
                <w:sz w:val="20"/>
                <w:szCs w:val="20"/>
              </w:rPr>
              <w:t xml:space="preserve"> та є невід‘ємною його частиною, та  Заявки про підключення (внесення змін)/відключення Системи Банком, наданої Оператором ринку (або такої, що буде надана в майбутньому), та не потребує додаткового погодження Клієнтом.  </w:t>
            </w:r>
          </w:p>
          <w:p w:rsidR="00500A66" w:rsidRDefault="00291087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Підтверджую ознайомлення з Правилами ринку «на добу наперед» та внутрішньодобового ринку, затвердженими постановою Національної комісії, що здійснює державне регулювання у сферах енергетики та комунальних послуг, від 14 березня 2018 року № 308.</w:t>
            </w:r>
          </w:p>
          <w:p w:rsidR="00500A66" w:rsidRDefault="00500A66">
            <w:pPr>
              <w:tabs>
                <w:tab w:val="left" w:pos="459"/>
              </w:tabs>
              <w:ind w:left="45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00A66">
        <w:trPr>
          <w:gridBefore w:val="1"/>
          <w:wBefore w:w="221" w:type="dxa"/>
          <w:trHeight w:val="58"/>
        </w:trPr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500A66">
        <w:trPr>
          <w:gridBefore w:val="1"/>
          <w:wBefore w:w="221" w:type="dxa"/>
          <w:trHeight w:val="53"/>
        </w:trPr>
        <w:tc>
          <w:tcPr>
            <w:tcW w:w="236" w:type="dxa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jc w:val="center"/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10729" w:type="dxa"/>
            <w:gridSpan w:val="10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500A66" w:rsidRDefault="00291087">
            <w:pPr>
              <w:tabs>
                <w:tab w:val="left" w:pos="774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4. ВІДМІТКИ КЛІЄНТА </w:t>
            </w:r>
          </w:p>
          <w:p w:rsidR="00500A66" w:rsidRDefault="00500A66">
            <w:pPr>
              <w:tabs>
                <w:tab w:val="left" w:pos="774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00A66" w:rsidRDefault="00291087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       _______________             ______________________________</w:t>
            </w:r>
          </w:p>
          <w:p w:rsidR="00500A66" w:rsidRDefault="00291087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(посада)                                        (підпис</w:t>
            </w:r>
            <w:r>
              <w:rPr>
                <w:color w:val="00B0F0"/>
                <w:sz w:val="18"/>
                <w:szCs w:val="18"/>
                <w:lang w:val="uk-UA"/>
              </w:rPr>
              <w:t xml:space="preserve">/ЕП)                                     </w:t>
            </w:r>
            <w:r>
              <w:rPr>
                <w:sz w:val="18"/>
                <w:szCs w:val="18"/>
                <w:lang w:val="uk-UA"/>
              </w:rPr>
              <w:t xml:space="preserve">(прізвище та ініціали) </w:t>
            </w:r>
          </w:p>
          <w:p w:rsidR="00500A66" w:rsidRDefault="00291087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МП </w:t>
            </w:r>
            <w:r>
              <w:rPr>
                <w:i/>
                <w:color w:val="00B050"/>
                <w:sz w:val="18"/>
                <w:szCs w:val="18"/>
                <w:lang w:val="uk-UA"/>
              </w:rPr>
              <w:t>(за наявності)</w:t>
            </w:r>
          </w:p>
          <w:p w:rsidR="00500A66" w:rsidRDefault="00291087">
            <w:pPr>
              <w:jc w:val="center"/>
              <w:rPr>
                <w:i/>
                <w:sz w:val="18"/>
                <w:szCs w:val="20"/>
                <w:lang w:val="uk-UA"/>
              </w:rPr>
            </w:pPr>
            <w:r>
              <w:rPr>
                <w:i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</w:tcBorders>
            <w:shd w:val="clear" w:color="auto" w:fill="auto"/>
          </w:tcPr>
          <w:p w:rsidR="00500A66" w:rsidRDefault="00500A66">
            <w:pPr>
              <w:jc w:val="center"/>
              <w:rPr>
                <w:i/>
                <w:sz w:val="18"/>
                <w:szCs w:val="20"/>
                <w:lang w:val="uk-UA"/>
              </w:rPr>
            </w:pPr>
          </w:p>
        </w:tc>
      </w:tr>
      <w:tr w:rsidR="00500A66">
        <w:trPr>
          <w:gridBefore w:val="1"/>
          <w:wBefore w:w="221" w:type="dxa"/>
          <w:trHeight w:val="662"/>
        </w:trPr>
        <w:tc>
          <w:tcPr>
            <w:tcW w:w="11201" w:type="dxa"/>
            <w:gridSpan w:val="12"/>
            <w:tcBorders>
              <w:top w:val="double" w:sz="4" w:space="0" w:color="auto"/>
              <w:bottom w:val="single" w:sz="4" w:space="0" w:color="FFFFFF"/>
            </w:tcBorders>
            <w:shd w:val="clear" w:color="auto" w:fill="auto"/>
          </w:tcPr>
          <w:p w:rsidR="00500A66" w:rsidRDefault="00291087">
            <w:pPr>
              <w:tabs>
                <w:tab w:val="left" w:pos="774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 Відмітки банку</w:t>
            </w:r>
          </w:p>
          <w:p w:rsidR="00500A66" w:rsidRDefault="0029108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Заяву на визначення послуг до Договору прийняв, документи на відкриття Рахунку(ів) перевірив.</w:t>
            </w:r>
          </w:p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500A66" w:rsidRDefault="00291087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>
              <w:rPr>
                <w:i/>
                <w:color w:val="00B050"/>
                <w:sz w:val="18"/>
                <w:szCs w:val="20"/>
                <w:lang w:val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якщо Клієнт відкриває рахунок умовного зберігання (ескроу) (далі – Рахунок ескроу) для здійснення операцій згідно Закону України «Про ринок електричної енергії»  на ринку РДН/ВДР відповідно до Правил ринку «на добу наперед» та внутрішньодобового ринку, затверджених постановою Національної комісії, що здійснює державне регулювання у сферах енергетики та комунальних послуг, від 14 березня 2018 року № 308, додатково:</w:t>
            </w:r>
          </w:p>
          <w:p w:rsidR="00500A66" w:rsidRDefault="0029108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Статус Клієнта, як Учасника РДН/ВДР, що підтверджено Оператором ринку шляхом внесення до реєстру Учасників РДН/ВДР, оприлюдненому Оператором ринку на власному вебсайті, перевірив.</w:t>
            </w:r>
          </w:p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500A66" w:rsidRDefault="0029108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50800</wp:posOffset>
                      </wp:positionV>
                      <wp:extent cx="3010535" cy="596900"/>
                      <wp:effectExtent l="0" t="0" r="18415" b="1270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0535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00A66" w:rsidRDefault="00291087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20"/>
                                      <w:lang w:val="uk-UA"/>
                                    </w:rPr>
                                    <w:t>відтиск штампа виконавця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.25pt;margin-top:4pt;width:237.05pt;height:4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">
                      <v:textbox>
                        <w:txbxContent>
                          <w:p w:rsidR="00500A66" w:rsidRDefault="0029108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6"/>
                                <w:szCs w:val="20"/>
                                <w:lang w:val="uk-UA"/>
                              </w:rPr>
                              <w:t>відтиск штампа виконавця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500A66" w:rsidRDefault="0029108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          _______________________      ____________      ________________________</w:t>
            </w:r>
          </w:p>
          <w:p w:rsidR="00500A66" w:rsidRDefault="00291087">
            <w:pPr>
              <w:rPr>
                <w:i/>
                <w:iCs/>
                <w:color w:val="00B0F0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20"/>
                <w:lang w:val="uk-UA"/>
              </w:rPr>
              <w:t xml:space="preserve">(Посада уповноваженої особи, на яку покладено                                          </w:t>
            </w:r>
            <w:r>
              <w:rPr>
                <w:i/>
                <w:iCs/>
                <w:sz w:val="16"/>
                <w:szCs w:val="16"/>
                <w:lang w:val="uk-UA"/>
              </w:rPr>
              <w:t>(підпис</w:t>
            </w:r>
            <w:r>
              <w:rPr>
                <w:i/>
                <w:iCs/>
                <w:color w:val="00B0F0"/>
                <w:sz w:val="16"/>
                <w:szCs w:val="16"/>
                <w:lang w:val="uk-UA"/>
              </w:rPr>
              <w:t xml:space="preserve">/ЕП)  </w:t>
            </w:r>
            <w:r>
              <w:rPr>
                <w:i/>
                <w:iCs/>
                <w:sz w:val="16"/>
                <w:szCs w:val="16"/>
                <w:lang w:val="uk-UA"/>
              </w:rPr>
              <w:t xml:space="preserve">                                        (Прізвище та ініціали</w:t>
            </w:r>
            <w:r>
              <w:rPr>
                <w:i/>
                <w:iCs/>
                <w:color w:val="00B0F0"/>
                <w:sz w:val="16"/>
                <w:szCs w:val="16"/>
                <w:lang w:val="uk-UA"/>
              </w:rPr>
              <w:t xml:space="preserve">)         </w:t>
            </w:r>
          </w:p>
          <w:p w:rsidR="00500A66" w:rsidRDefault="0029108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i/>
                <w:sz w:val="16"/>
                <w:szCs w:val="20"/>
                <w:lang w:val="uk-UA"/>
              </w:rPr>
              <w:t>обов'язок відкривати рахунки клієнтів</w:t>
            </w:r>
            <w:r>
              <w:rPr>
                <w:i/>
                <w:iCs/>
                <w:sz w:val="16"/>
                <w:szCs w:val="16"/>
                <w:lang w:val="uk-UA"/>
              </w:rPr>
              <w:t xml:space="preserve">)              </w:t>
            </w:r>
          </w:p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500A66" w:rsidRDefault="0029108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</w:t>
            </w:r>
          </w:p>
        </w:tc>
      </w:tr>
      <w:tr w:rsidR="00500A66">
        <w:trPr>
          <w:gridBefore w:val="1"/>
          <w:wBefore w:w="221" w:type="dxa"/>
          <w:trHeight w:val="195"/>
        </w:trPr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500A66">
        <w:trPr>
          <w:gridBefore w:val="1"/>
          <w:wBefore w:w="221" w:type="dxa"/>
          <w:trHeight w:val="359"/>
        </w:trPr>
        <w:tc>
          <w:tcPr>
            <w:tcW w:w="236" w:type="dxa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jc w:val="center"/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500A66" w:rsidRDefault="00291087">
            <w:pPr>
              <w:tabs>
                <w:tab w:val="left" w:pos="7740"/>
              </w:tabs>
              <w:jc w:val="center"/>
              <w:rPr>
                <w:i/>
                <w:sz w:val="18"/>
                <w:szCs w:val="20"/>
                <w:lang w:val="uk-UA"/>
              </w:rPr>
            </w:pPr>
            <w:r>
              <w:rPr>
                <w:i/>
                <w:sz w:val="18"/>
                <w:szCs w:val="20"/>
                <w:lang w:val="uk-UA"/>
              </w:rPr>
              <w:t>(Керівник (уповноважена керівником особа)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500A66" w:rsidRDefault="00500A66">
            <w:pPr>
              <w:tabs>
                <w:tab w:val="left" w:pos="7740"/>
              </w:tabs>
              <w:jc w:val="center"/>
              <w:rPr>
                <w:i/>
                <w:sz w:val="18"/>
                <w:szCs w:val="20"/>
                <w:lang w:val="uk-UA"/>
              </w:rPr>
            </w:pPr>
          </w:p>
          <w:p w:rsidR="00500A66" w:rsidRDefault="00500A66">
            <w:pPr>
              <w:tabs>
                <w:tab w:val="left" w:pos="7740"/>
              </w:tabs>
              <w:jc w:val="center"/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500A66" w:rsidRDefault="00291087">
            <w:pPr>
              <w:jc w:val="center"/>
              <w:rPr>
                <w:i/>
                <w:sz w:val="18"/>
                <w:szCs w:val="20"/>
                <w:lang w:val="uk-UA"/>
              </w:rPr>
            </w:pPr>
            <w:r>
              <w:rPr>
                <w:i/>
                <w:sz w:val="18"/>
                <w:szCs w:val="20"/>
                <w:lang w:val="uk-UA"/>
              </w:rPr>
              <w:t>(підпис</w:t>
            </w:r>
            <w:r>
              <w:rPr>
                <w:i/>
                <w:iCs/>
                <w:color w:val="00B0F0"/>
                <w:sz w:val="16"/>
                <w:szCs w:val="16"/>
                <w:lang w:val="uk-UA"/>
              </w:rPr>
              <w:t>/ЕП</w:t>
            </w:r>
            <w:r>
              <w:rPr>
                <w:i/>
                <w:sz w:val="18"/>
                <w:szCs w:val="20"/>
                <w:lang w:val="uk-UA"/>
              </w:rPr>
              <w:t>)</w:t>
            </w:r>
          </w:p>
          <w:p w:rsidR="00500A66" w:rsidRDefault="00291087">
            <w:pPr>
              <w:rPr>
                <w:i/>
                <w:sz w:val="18"/>
                <w:szCs w:val="20"/>
                <w:lang w:val="uk-UA"/>
              </w:rPr>
            </w:pPr>
            <w:r>
              <w:rPr>
                <w:i/>
                <w:sz w:val="18"/>
                <w:szCs w:val="20"/>
                <w:lang w:val="uk-UA"/>
              </w:rPr>
              <w:t>М.П.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00A66" w:rsidRDefault="00500A66">
            <w:pPr>
              <w:jc w:val="center"/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500A66" w:rsidRDefault="00291087">
            <w:pPr>
              <w:jc w:val="center"/>
              <w:rPr>
                <w:i/>
                <w:sz w:val="18"/>
                <w:szCs w:val="20"/>
                <w:lang w:val="uk-UA"/>
              </w:rPr>
            </w:pPr>
            <w:r>
              <w:rPr>
                <w:i/>
                <w:sz w:val="18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</w:tcBorders>
            <w:shd w:val="clear" w:color="auto" w:fill="auto"/>
          </w:tcPr>
          <w:p w:rsidR="00500A66" w:rsidRDefault="00500A66">
            <w:pPr>
              <w:jc w:val="center"/>
              <w:rPr>
                <w:i/>
                <w:sz w:val="18"/>
                <w:szCs w:val="20"/>
                <w:lang w:val="uk-UA"/>
              </w:rPr>
            </w:pPr>
          </w:p>
        </w:tc>
      </w:tr>
      <w:tr w:rsidR="00500A66" w:rsidRPr="00E04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5" w:type="dxa"/>
        </w:trPr>
        <w:tc>
          <w:tcPr>
            <w:tcW w:w="5529" w:type="dxa"/>
            <w:gridSpan w:val="8"/>
            <w:shd w:val="clear" w:color="auto" w:fill="auto"/>
          </w:tcPr>
          <w:p w:rsidR="00500A66" w:rsidRDefault="00500A66">
            <w:pPr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500A66" w:rsidRDefault="00500A66">
            <w:pPr>
              <w:jc w:val="right"/>
              <w:rPr>
                <w:rFonts w:eastAsia="Times New Roman"/>
                <w:b/>
                <w:sz w:val="20"/>
                <w:szCs w:val="22"/>
                <w:lang w:val="uk-UA" w:eastAsia="ru-RU"/>
              </w:rPr>
            </w:pPr>
          </w:p>
          <w:p w:rsidR="00500A66" w:rsidRDefault="00500A66">
            <w:pPr>
              <w:jc w:val="right"/>
              <w:rPr>
                <w:rFonts w:eastAsia="Times New Roman"/>
                <w:b/>
                <w:sz w:val="20"/>
                <w:szCs w:val="22"/>
                <w:lang w:val="uk-UA" w:eastAsia="ru-RU"/>
              </w:rPr>
            </w:pPr>
          </w:p>
          <w:p w:rsidR="00500A66" w:rsidRDefault="00500A66">
            <w:pPr>
              <w:jc w:val="right"/>
              <w:rPr>
                <w:rFonts w:eastAsia="Times New Roman"/>
                <w:b/>
                <w:sz w:val="20"/>
                <w:szCs w:val="22"/>
                <w:lang w:val="uk-UA" w:eastAsia="ru-RU"/>
              </w:rPr>
            </w:pPr>
          </w:p>
          <w:p w:rsidR="00500A66" w:rsidRDefault="00500A66">
            <w:pPr>
              <w:jc w:val="right"/>
              <w:rPr>
                <w:rFonts w:eastAsia="Times New Roman"/>
                <w:b/>
                <w:sz w:val="20"/>
                <w:szCs w:val="22"/>
                <w:lang w:val="uk-UA" w:eastAsia="ru-RU"/>
              </w:rPr>
            </w:pPr>
          </w:p>
          <w:p w:rsidR="00500A66" w:rsidRDefault="00500A66">
            <w:pPr>
              <w:jc w:val="right"/>
              <w:rPr>
                <w:rFonts w:eastAsia="Times New Roman"/>
                <w:b/>
                <w:sz w:val="20"/>
                <w:szCs w:val="22"/>
                <w:lang w:val="uk-UA" w:eastAsia="ru-RU"/>
              </w:rPr>
            </w:pPr>
          </w:p>
          <w:p w:rsidR="00500A66" w:rsidRDefault="00500A66">
            <w:pPr>
              <w:jc w:val="right"/>
              <w:rPr>
                <w:rFonts w:eastAsia="Times New Roman"/>
                <w:b/>
                <w:sz w:val="20"/>
                <w:szCs w:val="22"/>
                <w:lang w:val="uk-UA" w:eastAsia="ru-RU"/>
              </w:rPr>
            </w:pPr>
          </w:p>
          <w:p w:rsidR="00500A66" w:rsidRDefault="00500A66">
            <w:pPr>
              <w:jc w:val="right"/>
              <w:rPr>
                <w:rFonts w:eastAsia="Times New Roman"/>
                <w:b/>
                <w:sz w:val="20"/>
                <w:szCs w:val="22"/>
                <w:lang w:val="uk-UA" w:eastAsia="ru-RU"/>
              </w:rPr>
            </w:pPr>
          </w:p>
          <w:p w:rsidR="00500A66" w:rsidRDefault="00500A66">
            <w:pPr>
              <w:jc w:val="right"/>
              <w:rPr>
                <w:rFonts w:eastAsia="Times New Roman"/>
                <w:b/>
                <w:sz w:val="20"/>
                <w:szCs w:val="22"/>
                <w:lang w:val="uk-UA" w:eastAsia="ru-RU"/>
              </w:rPr>
            </w:pPr>
          </w:p>
          <w:p w:rsidR="00500A66" w:rsidRDefault="00500A66">
            <w:pPr>
              <w:jc w:val="right"/>
              <w:rPr>
                <w:rFonts w:eastAsia="Times New Roman"/>
                <w:b/>
                <w:sz w:val="20"/>
                <w:szCs w:val="22"/>
                <w:lang w:val="uk-UA" w:eastAsia="ru-RU"/>
              </w:rPr>
            </w:pPr>
          </w:p>
          <w:p w:rsidR="00500A66" w:rsidRDefault="00500A66">
            <w:pPr>
              <w:jc w:val="right"/>
              <w:rPr>
                <w:rFonts w:eastAsia="Times New Roman"/>
                <w:b/>
                <w:sz w:val="20"/>
                <w:szCs w:val="22"/>
                <w:lang w:val="uk-UA" w:eastAsia="ru-RU"/>
              </w:rPr>
            </w:pPr>
          </w:p>
          <w:p w:rsidR="00500A66" w:rsidRDefault="00500A66">
            <w:pPr>
              <w:jc w:val="right"/>
              <w:rPr>
                <w:rFonts w:eastAsia="Times New Roman"/>
                <w:b/>
                <w:sz w:val="20"/>
                <w:szCs w:val="22"/>
                <w:lang w:val="uk-UA" w:eastAsia="ru-RU"/>
              </w:rPr>
            </w:pPr>
          </w:p>
          <w:p w:rsidR="00500A66" w:rsidRDefault="00500A66">
            <w:pPr>
              <w:jc w:val="right"/>
              <w:rPr>
                <w:rFonts w:eastAsia="Times New Roman"/>
                <w:b/>
                <w:sz w:val="20"/>
                <w:szCs w:val="22"/>
                <w:lang w:val="uk-UA" w:eastAsia="ru-RU"/>
              </w:rPr>
            </w:pPr>
          </w:p>
          <w:p w:rsidR="00500A66" w:rsidRDefault="00500A66">
            <w:pPr>
              <w:jc w:val="right"/>
              <w:rPr>
                <w:rFonts w:eastAsia="Times New Roman"/>
                <w:b/>
                <w:sz w:val="20"/>
                <w:szCs w:val="22"/>
                <w:lang w:val="uk-UA" w:eastAsia="ru-RU"/>
              </w:rPr>
            </w:pPr>
          </w:p>
          <w:p w:rsidR="00500A66" w:rsidRDefault="00500A66">
            <w:pPr>
              <w:jc w:val="right"/>
              <w:rPr>
                <w:rFonts w:eastAsia="Times New Roman"/>
                <w:b/>
                <w:sz w:val="20"/>
                <w:szCs w:val="22"/>
                <w:lang w:val="uk-UA" w:eastAsia="ru-RU"/>
              </w:rPr>
            </w:pPr>
          </w:p>
          <w:p w:rsidR="00500A66" w:rsidRDefault="00500A66">
            <w:pPr>
              <w:jc w:val="right"/>
              <w:rPr>
                <w:rFonts w:eastAsia="Times New Roman"/>
                <w:b/>
                <w:sz w:val="20"/>
                <w:szCs w:val="22"/>
                <w:lang w:val="uk-UA" w:eastAsia="ru-RU"/>
              </w:rPr>
            </w:pPr>
          </w:p>
          <w:p w:rsidR="00500A66" w:rsidRDefault="00291087">
            <w:pPr>
              <w:jc w:val="right"/>
              <w:rPr>
                <w:rFonts w:eastAsia="Times New Roman"/>
                <w:b/>
                <w:sz w:val="20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sz w:val="20"/>
                <w:szCs w:val="22"/>
                <w:lang w:val="uk-UA" w:eastAsia="ru-RU"/>
              </w:rPr>
              <w:t xml:space="preserve">Додаток №1 </w:t>
            </w:r>
          </w:p>
          <w:p w:rsidR="00500A66" w:rsidRPr="00E04848" w:rsidRDefault="00291087">
            <w:pPr>
              <w:widowControl w:val="0"/>
              <w:ind w:right="177"/>
              <w:rPr>
                <w:b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b/>
                <w:bCs/>
                <w:sz w:val="20"/>
                <w:szCs w:val="22"/>
                <w:lang w:val="uk-UA" w:eastAsia="ru-RU"/>
              </w:rPr>
              <w:t xml:space="preserve">до Заяви на визначення послуг до </w:t>
            </w:r>
            <w:r>
              <w:rPr>
                <w:b/>
                <w:sz w:val="20"/>
                <w:szCs w:val="20"/>
                <w:lang w:val="uk-UA"/>
              </w:rPr>
              <w:t>Договору комплексного банківського обслуговування суб’єктів господарювання</w:t>
            </w:r>
            <w:r>
              <w:rPr>
                <w:rFonts w:eastAsia="Times New Roman"/>
                <w:b/>
                <w:bCs/>
                <w:sz w:val="20"/>
                <w:szCs w:val="22"/>
                <w:lang w:val="uk-UA" w:eastAsia="ru-RU"/>
              </w:rPr>
              <w:t xml:space="preserve"> №________________________  від __.__.20__р.</w:t>
            </w:r>
            <w:r>
              <w:rPr>
                <w:rFonts w:ascii="Arial" w:eastAsia="SimSun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eastAsia="SimSun" w:hAnsi="Arial" w:cs="Arial"/>
                <w:color w:val="222222"/>
                <w:shd w:val="clear" w:color="auto" w:fill="FFFFFF"/>
                <w:lang w:val="uk-UA"/>
              </w:rPr>
              <w:t>(</w:t>
            </w:r>
            <w:r w:rsidRPr="00E04848">
              <w:rPr>
                <w:b/>
                <w:i/>
                <w:iCs/>
                <w:sz w:val="20"/>
                <w:szCs w:val="20"/>
                <w:lang w:val="uk-UA"/>
              </w:rPr>
              <w:t>офооформлюється тільки для рахунків ескроу, що відкриваються для участі на ринку електричної енергії РДН/ВДР</w:t>
            </w:r>
            <w:r>
              <w:rPr>
                <w:b/>
                <w:i/>
                <w:iCs/>
                <w:sz w:val="20"/>
                <w:szCs w:val="20"/>
                <w:lang w:val="uk-UA"/>
              </w:rPr>
              <w:t>)</w:t>
            </w:r>
          </w:p>
          <w:p w:rsidR="00500A66" w:rsidRDefault="00500A66">
            <w:pPr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</w:p>
        </w:tc>
      </w:tr>
    </w:tbl>
    <w:p w:rsidR="00500A66" w:rsidRDefault="00291087">
      <w:pPr>
        <w:widowControl w:val="0"/>
        <w:ind w:left="4678"/>
        <w:jc w:val="right"/>
        <w:rPr>
          <w:rFonts w:eastAsia="Times New Roman" w:cs="Journal"/>
          <w:b/>
          <w:sz w:val="22"/>
          <w:szCs w:val="22"/>
          <w:lang w:val="uk-UA" w:eastAsia="ru-RU"/>
        </w:rPr>
      </w:pPr>
      <w:r>
        <w:rPr>
          <w:rFonts w:eastAsia="Times New Roman" w:cs="Journal"/>
          <w:b/>
          <w:sz w:val="22"/>
          <w:szCs w:val="22"/>
          <w:lang w:val="uk-UA" w:eastAsia="ru-RU"/>
        </w:rPr>
        <w:lastRenderedPageBreak/>
        <w:t>Кому: АБ «УКРГАЗБАНК»</w:t>
      </w:r>
    </w:p>
    <w:p w:rsidR="00500A66" w:rsidRDefault="00291087">
      <w:pPr>
        <w:widowControl w:val="0"/>
        <w:ind w:left="4678"/>
        <w:jc w:val="right"/>
        <w:rPr>
          <w:rFonts w:eastAsia="Times New Roman" w:cs="Journal"/>
          <w:sz w:val="22"/>
          <w:szCs w:val="22"/>
          <w:lang w:val="uk-UA" w:eastAsia="ru-RU"/>
        </w:rPr>
      </w:pPr>
      <w:r>
        <w:rPr>
          <w:rFonts w:eastAsia="Times New Roman" w:cs="Journal"/>
          <w:sz w:val="22"/>
          <w:szCs w:val="22"/>
          <w:lang w:val="uk-UA" w:eastAsia="ru-RU"/>
        </w:rPr>
        <w:t>______________________________</w:t>
      </w:r>
    </w:p>
    <w:p w:rsidR="00500A66" w:rsidRDefault="00291087">
      <w:pPr>
        <w:widowControl w:val="0"/>
        <w:ind w:left="4678"/>
        <w:jc w:val="right"/>
        <w:rPr>
          <w:rFonts w:eastAsia="Times New Roman" w:cs="Journal"/>
          <w:sz w:val="22"/>
          <w:szCs w:val="22"/>
          <w:lang w:val="uk-UA" w:eastAsia="ru-RU"/>
        </w:rPr>
      </w:pPr>
      <w:r>
        <w:rPr>
          <w:rFonts w:eastAsia="Times New Roman" w:cs="Journal"/>
          <w:sz w:val="22"/>
          <w:szCs w:val="22"/>
          <w:lang w:val="uk-UA" w:eastAsia="ru-RU"/>
        </w:rPr>
        <w:t>______________________________</w:t>
      </w:r>
    </w:p>
    <w:p w:rsidR="00500A66" w:rsidRDefault="00291087">
      <w:pPr>
        <w:widowControl w:val="0"/>
        <w:ind w:left="4678"/>
        <w:jc w:val="right"/>
        <w:rPr>
          <w:rFonts w:eastAsia="Times New Roman" w:cs="Journal"/>
          <w:sz w:val="22"/>
          <w:szCs w:val="22"/>
          <w:lang w:val="uk-UA" w:eastAsia="ru-RU"/>
        </w:rPr>
      </w:pPr>
      <w:r>
        <w:rPr>
          <w:rFonts w:eastAsia="Times New Roman" w:cs="Journal"/>
          <w:sz w:val="22"/>
          <w:szCs w:val="22"/>
          <w:lang w:val="uk-UA" w:eastAsia="ru-RU"/>
        </w:rPr>
        <w:t>______________________________</w:t>
      </w:r>
    </w:p>
    <w:p w:rsidR="00500A66" w:rsidRDefault="00500A66">
      <w:pPr>
        <w:widowControl w:val="0"/>
        <w:ind w:firstLine="708"/>
        <w:jc w:val="both"/>
        <w:rPr>
          <w:rFonts w:eastAsia="Times New Roman" w:cs="Journal"/>
          <w:sz w:val="22"/>
          <w:szCs w:val="22"/>
          <w:lang w:val="uk-UA" w:eastAsia="ru-RU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2660"/>
        <w:gridCol w:w="8680"/>
      </w:tblGrid>
      <w:tr w:rsidR="00500A66">
        <w:tc>
          <w:tcPr>
            <w:tcW w:w="2660" w:type="dxa"/>
            <w:shd w:val="clear" w:color="auto" w:fill="auto"/>
          </w:tcPr>
          <w:p w:rsidR="00500A66" w:rsidRDefault="00291087">
            <w:pPr>
              <w:widowControl w:val="0"/>
              <w:jc w:val="both"/>
              <w:rPr>
                <w:rFonts w:eastAsia="Times New Roman" w:cs="Journal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Journal"/>
                <w:sz w:val="22"/>
                <w:szCs w:val="22"/>
                <w:lang w:val="uk-UA" w:eastAsia="ru-RU"/>
              </w:rPr>
              <w:t>місто ______,  Україна</w:t>
            </w:r>
          </w:p>
        </w:tc>
        <w:tc>
          <w:tcPr>
            <w:tcW w:w="8680" w:type="dxa"/>
            <w:shd w:val="clear" w:color="auto" w:fill="auto"/>
          </w:tcPr>
          <w:p w:rsidR="00500A66" w:rsidRDefault="00291087">
            <w:pPr>
              <w:widowControl w:val="0"/>
              <w:jc w:val="right"/>
              <w:rPr>
                <w:rFonts w:eastAsia="Times New Roman" w:cs="Journal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Journal"/>
                <w:sz w:val="22"/>
                <w:szCs w:val="22"/>
                <w:lang w:val="uk-UA" w:eastAsia="ru-RU"/>
              </w:rPr>
              <w:t xml:space="preserve">  року</w:t>
            </w:r>
          </w:p>
        </w:tc>
      </w:tr>
    </w:tbl>
    <w:p w:rsidR="00500A66" w:rsidRDefault="00291087">
      <w:pPr>
        <w:keepNext/>
        <w:widowControl w:val="0"/>
        <w:jc w:val="center"/>
        <w:outlineLvl w:val="1"/>
        <w:rPr>
          <w:rFonts w:eastAsia="Times New Roman" w:cs="Journal"/>
          <w:b/>
          <w:sz w:val="22"/>
          <w:szCs w:val="22"/>
          <w:lang w:val="uk-UA" w:eastAsia="ru-RU"/>
        </w:rPr>
      </w:pPr>
      <w:r>
        <w:rPr>
          <w:rFonts w:eastAsia="Times New Roman" w:cs="Journal"/>
          <w:b/>
          <w:sz w:val="22"/>
          <w:szCs w:val="22"/>
          <w:lang w:val="uk-UA" w:eastAsia="ru-RU"/>
        </w:rPr>
        <w:t>ЗАЯВА – ДОЗВІЛ</w:t>
      </w:r>
    </w:p>
    <w:tbl>
      <w:tblPr>
        <w:tblW w:w="5000" w:type="pct"/>
        <w:tblInd w:w="284" w:type="dxa"/>
        <w:tblLook w:val="04A0" w:firstRow="1" w:lastRow="0" w:firstColumn="1" w:lastColumn="0" w:noHBand="0" w:noVBand="1"/>
      </w:tblPr>
      <w:tblGrid>
        <w:gridCol w:w="3543"/>
        <w:gridCol w:w="7683"/>
      </w:tblGrid>
      <w:tr w:rsidR="00500A66">
        <w:tc>
          <w:tcPr>
            <w:tcW w:w="1578" w:type="pct"/>
          </w:tcPr>
          <w:p w:rsidR="00500A66" w:rsidRDefault="00500A66">
            <w:pPr>
              <w:widowControl w:val="0"/>
              <w:ind w:right="-108"/>
              <w:jc w:val="both"/>
              <w:rPr>
                <w:rFonts w:eastAsia="Times New Roman" w:cs="Journal"/>
                <w:b/>
                <w:sz w:val="22"/>
                <w:szCs w:val="22"/>
                <w:lang w:val="uk-UA" w:eastAsia="ru-RU"/>
              </w:rPr>
            </w:pPr>
          </w:p>
          <w:p w:rsidR="00500A66" w:rsidRDefault="00291087">
            <w:pPr>
              <w:widowControl w:val="0"/>
              <w:ind w:right="-108"/>
              <w:jc w:val="both"/>
              <w:rPr>
                <w:rFonts w:eastAsia="Times New Roman" w:cs="Journal"/>
                <w:b/>
                <w:sz w:val="22"/>
                <w:szCs w:val="22"/>
                <w:lang w:val="uk-UA" w:eastAsia="ru-RU"/>
              </w:rPr>
            </w:pPr>
            <w:r>
              <w:rPr>
                <w:rFonts w:eastAsia="Times New Roman" w:cs="Journal"/>
                <w:b/>
                <w:sz w:val="22"/>
                <w:szCs w:val="22"/>
                <w:lang w:val="uk-UA" w:eastAsia="ru-RU"/>
              </w:rPr>
              <w:t>Найменування Клієнта</w:t>
            </w:r>
          </w:p>
        </w:tc>
        <w:tc>
          <w:tcPr>
            <w:tcW w:w="3422" w:type="pct"/>
          </w:tcPr>
          <w:p w:rsidR="00500A66" w:rsidRDefault="00500A66">
            <w:pPr>
              <w:widowControl w:val="0"/>
              <w:jc w:val="both"/>
              <w:rPr>
                <w:rFonts w:eastAsia="Times New Roman" w:cs="Journal"/>
                <w:sz w:val="22"/>
                <w:szCs w:val="22"/>
                <w:lang w:val="uk-UA" w:eastAsia="ru-RU"/>
              </w:rPr>
            </w:pPr>
          </w:p>
          <w:p w:rsidR="00500A66" w:rsidRDefault="00500A66">
            <w:pPr>
              <w:widowControl w:val="0"/>
              <w:jc w:val="both"/>
              <w:rPr>
                <w:rFonts w:eastAsia="Times New Roman" w:cs="Journal"/>
                <w:sz w:val="22"/>
                <w:szCs w:val="22"/>
                <w:lang w:val="uk-UA" w:eastAsia="ru-RU"/>
              </w:rPr>
            </w:pPr>
          </w:p>
        </w:tc>
      </w:tr>
      <w:tr w:rsidR="00500A66">
        <w:tc>
          <w:tcPr>
            <w:tcW w:w="1578" w:type="pct"/>
          </w:tcPr>
          <w:p w:rsidR="00500A66" w:rsidRDefault="00500A66">
            <w:pPr>
              <w:widowControl w:val="0"/>
              <w:jc w:val="both"/>
              <w:rPr>
                <w:rFonts w:eastAsia="Times New Roman" w:cs="Journal"/>
                <w:sz w:val="22"/>
                <w:szCs w:val="22"/>
                <w:lang w:val="uk-UA" w:eastAsia="ru-RU"/>
              </w:rPr>
            </w:pPr>
          </w:p>
        </w:tc>
        <w:tc>
          <w:tcPr>
            <w:tcW w:w="3422" w:type="pct"/>
          </w:tcPr>
          <w:p w:rsidR="00500A66" w:rsidRDefault="00291087">
            <w:pPr>
              <w:widowControl w:val="0"/>
              <w:jc w:val="center"/>
              <w:rPr>
                <w:rFonts w:eastAsia="Times New Roman" w:cs="Journal"/>
                <w:i/>
                <w:sz w:val="22"/>
                <w:szCs w:val="22"/>
                <w:lang w:val="uk-UA" w:eastAsia="ru-RU"/>
              </w:rPr>
            </w:pPr>
            <w:r>
              <w:rPr>
                <w:rFonts w:eastAsia="Times New Roman" w:cs="Journal"/>
                <w:i/>
                <w:sz w:val="20"/>
                <w:szCs w:val="22"/>
                <w:lang w:val="uk-UA" w:eastAsia="ru-RU"/>
              </w:rPr>
              <w:t>(повне найменування Клієнта)</w:t>
            </w:r>
          </w:p>
        </w:tc>
      </w:tr>
      <w:tr w:rsidR="00500A66">
        <w:tc>
          <w:tcPr>
            <w:tcW w:w="1578" w:type="pct"/>
          </w:tcPr>
          <w:p w:rsidR="00500A66" w:rsidRDefault="00291087">
            <w:pPr>
              <w:widowControl w:val="0"/>
              <w:jc w:val="both"/>
              <w:rPr>
                <w:rFonts w:eastAsia="Times New Roman" w:cs="Journal"/>
                <w:b/>
                <w:sz w:val="22"/>
                <w:szCs w:val="22"/>
                <w:lang w:val="uk-UA" w:eastAsia="ru-RU"/>
              </w:rPr>
            </w:pPr>
            <w:r>
              <w:rPr>
                <w:rFonts w:eastAsia="Times New Roman" w:cs="Journal"/>
                <w:b/>
                <w:sz w:val="22"/>
                <w:szCs w:val="22"/>
                <w:lang w:val="uk-UA" w:eastAsia="ru-RU"/>
              </w:rPr>
              <w:t>Код ЄДРПОУ</w:t>
            </w:r>
          </w:p>
        </w:tc>
        <w:tc>
          <w:tcPr>
            <w:tcW w:w="3422" w:type="pct"/>
          </w:tcPr>
          <w:p w:rsidR="00500A66" w:rsidRDefault="00291087">
            <w:pPr>
              <w:widowControl w:val="0"/>
              <w:ind w:left="-2175"/>
              <w:jc w:val="both"/>
              <w:rPr>
                <w:rFonts w:eastAsia="Times New Roman" w:cs="Journal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Journal"/>
                <w:sz w:val="22"/>
                <w:szCs w:val="22"/>
                <w:lang w:val="uk-UA" w:eastAsia="ru-RU"/>
              </w:rPr>
              <w:t>_______</w:t>
            </w:r>
          </w:p>
        </w:tc>
      </w:tr>
      <w:tr w:rsidR="00500A66">
        <w:tc>
          <w:tcPr>
            <w:tcW w:w="1578" w:type="pct"/>
          </w:tcPr>
          <w:p w:rsidR="00500A66" w:rsidRDefault="00291087">
            <w:pPr>
              <w:widowControl w:val="0"/>
              <w:jc w:val="both"/>
              <w:rPr>
                <w:rFonts w:eastAsia="Times New Roman" w:cs="Journal"/>
                <w:b/>
                <w:sz w:val="22"/>
                <w:szCs w:val="22"/>
                <w:lang w:val="uk-UA" w:eastAsia="ru-RU"/>
              </w:rPr>
            </w:pPr>
            <w:r>
              <w:rPr>
                <w:rFonts w:eastAsia="Times New Roman" w:cs="Journal"/>
                <w:b/>
                <w:sz w:val="22"/>
                <w:szCs w:val="22"/>
                <w:lang w:val="uk-UA" w:eastAsia="ru-RU"/>
              </w:rPr>
              <w:t>№ рахунку умовного зберігання (ескроу) для здійснення операцій згідно Закону України «Про ринок електричної енергії»</w:t>
            </w:r>
          </w:p>
        </w:tc>
        <w:tc>
          <w:tcPr>
            <w:tcW w:w="3422" w:type="pct"/>
          </w:tcPr>
          <w:p w:rsidR="00500A66" w:rsidRDefault="00500A66">
            <w:pPr>
              <w:widowControl w:val="0"/>
              <w:ind w:left="-2175"/>
              <w:jc w:val="both"/>
              <w:rPr>
                <w:rFonts w:eastAsia="Times New Roman" w:cs="Journal"/>
                <w:sz w:val="22"/>
                <w:szCs w:val="22"/>
                <w:lang w:val="uk-UA" w:eastAsia="ru-RU"/>
              </w:rPr>
            </w:pPr>
          </w:p>
        </w:tc>
      </w:tr>
    </w:tbl>
    <w:p w:rsidR="00500A66" w:rsidRDefault="00500A66">
      <w:pPr>
        <w:widowControl w:val="0"/>
        <w:jc w:val="both"/>
        <w:rPr>
          <w:rFonts w:eastAsia="Times New Roman" w:cs="Journal"/>
          <w:sz w:val="22"/>
          <w:szCs w:val="22"/>
          <w:lang w:val="uk-UA" w:eastAsia="ru-RU"/>
        </w:rPr>
      </w:pPr>
    </w:p>
    <w:p w:rsidR="00500A66" w:rsidRDefault="00500A66">
      <w:pPr>
        <w:widowControl w:val="0"/>
        <w:ind w:left="426" w:right="227" w:firstLine="708"/>
        <w:jc w:val="both"/>
        <w:rPr>
          <w:rFonts w:eastAsia="Times New Roman" w:cs="Journal"/>
          <w:b/>
          <w:bCs/>
          <w:sz w:val="22"/>
          <w:szCs w:val="22"/>
          <w:lang w:val="uk-UA" w:eastAsia="ru-RU"/>
        </w:rPr>
      </w:pPr>
    </w:p>
    <w:p w:rsidR="00500A66" w:rsidRDefault="00291087">
      <w:pPr>
        <w:widowControl w:val="0"/>
        <w:ind w:left="426" w:right="227" w:firstLine="567"/>
        <w:jc w:val="both"/>
        <w:rPr>
          <w:rFonts w:eastAsia="Times New Roman"/>
          <w:bCs/>
          <w:sz w:val="22"/>
          <w:szCs w:val="22"/>
          <w:lang w:val="uk-UA" w:eastAsia="ru-RU"/>
        </w:rPr>
      </w:pPr>
      <w:r>
        <w:rPr>
          <w:rFonts w:eastAsia="Times New Roman"/>
          <w:sz w:val="22"/>
          <w:szCs w:val="22"/>
          <w:lang w:val="uk-UA" w:eastAsia="ru-RU"/>
        </w:rPr>
        <w:t xml:space="preserve">З метою забезпечення розрахунків за рахунком умовного зберігання (ескроу) №____________, відкритим в АБ «УКРГАЗБАНК», код банку 320478, (далі – Рахунок ескроу), </w:t>
      </w:r>
      <w:r>
        <w:rPr>
          <w:rFonts w:eastAsia="Times New Roman"/>
          <w:bCs/>
          <w:sz w:val="22"/>
          <w:szCs w:val="22"/>
          <w:lang w:val="uk-UA" w:eastAsia="ru-RU"/>
        </w:rPr>
        <w:t>відповідно до Закону України «Про ринок електричної енергії», Правил ринку «на добу наперед» та внутрішньодобового ринку, затверджених постановою Національної комісії, що здійснює державне регулювання у сферах енергетики та комунальних послуг, від 14 березня 2018 року № 308 (далі - Правила РДН/ВДР), в межах та на умовах,</w:t>
      </w:r>
      <w:r>
        <w:rPr>
          <w:rFonts w:ascii="Journal" w:eastAsia="Times New Roman" w:hAnsi="Journal" w:cs="Journal"/>
          <w:sz w:val="20"/>
          <w:szCs w:val="20"/>
          <w:lang w:val="uk-UA" w:eastAsia="ru-RU"/>
        </w:rPr>
        <w:t xml:space="preserve"> </w:t>
      </w:r>
      <w:r>
        <w:rPr>
          <w:rFonts w:eastAsia="Times New Roman"/>
          <w:bCs/>
          <w:sz w:val="22"/>
          <w:szCs w:val="22"/>
          <w:lang w:val="uk-UA" w:eastAsia="ru-RU"/>
        </w:rPr>
        <w:t xml:space="preserve">визначеними Договором </w:t>
      </w:r>
      <w:r>
        <w:rPr>
          <w:sz w:val="20"/>
          <w:szCs w:val="20"/>
          <w:lang w:val="uk-UA"/>
        </w:rPr>
        <w:t>комплексного банківського обслуговування суб’єктів господарювання</w:t>
      </w:r>
      <w:r>
        <w:rPr>
          <w:rFonts w:eastAsia="Times New Roman"/>
          <w:bCs/>
          <w:sz w:val="20"/>
          <w:szCs w:val="22"/>
          <w:lang w:val="uk-UA" w:eastAsia="ru-RU"/>
        </w:rPr>
        <w:t xml:space="preserve"> №</w:t>
      </w:r>
      <w:r>
        <w:rPr>
          <w:rFonts w:eastAsia="Times New Roman"/>
          <w:bCs/>
          <w:sz w:val="22"/>
          <w:szCs w:val="22"/>
          <w:lang w:val="uk-UA" w:eastAsia="ru-RU"/>
        </w:rPr>
        <w:t xml:space="preserve"> _______від __.__.20__р. (далі –Договір), договором АБ «УКРГАЗБАНК» з Оператором ринку, нормативними документами Національної комісії, що здійснює державне регулювання у сферах енергетики та комунальних послуг (далі – Регулятор) та/або Оператора ринку надаю дозвіл АБ «УКРГАЗБАНК» на розкриття банківської таємниці Оператору ринку за Рахунком ескроу.</w:t>
      </w:r>
    </w:p>
    <w:p w:rsidR="00500A66" w:rsidRDefault="00291087">
      <w:pPr>
        <w:widowControl w:val="0"/>
        <w:ind w:left="426" w:right="227" w:firstLine="567"/>
        <w:jc w:val="both"/>
        <w:rPr>
          <w:rFonts w:eastAsia="Times New Roman"/>
          <w:sz w:val="22"/>
          <w:szCs w:val="22"/>
          <w:lang w:val="uk-UA" w:eastAsia="ru-RU"/>
        </w:rPr>
      </w:pPr>
      <w:r>
        <w:rPr>
          <w:rFonts w:eastAsia="Times New Roman"/>
          <w:bCs/>
          <w:sz w:val="22"/>
          <w:szCs w:val="22"/>
          <w:lang w:val="uk-UA" w:eastAsia="ru-RU"/>
        </w:rPr>
        <w:t>Для цього доручаю АБ «УКРГАЗБАНК» (надалі також – Банк) та надаю йому право на</w:t>
      </w:r>
      <w:r>
        <w:rPr>
          <w:rFonts w:eastAsia="Times New Roman"/>
          <w:sz w:val="22"/>
          <w:szCs w:val="22"/>
          <w:lang w:val="uk-UA" w:eastAsia="ru-RU"/>
        </w:rPr>
        <w:t>:</w:t>
      </w:r>
    </w:p>
    <w:p w:rsidR="00500A66" w:rsidRDefault="0029108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426" w:right="227" w:firstLine="567"/>
        <w:jc w:val="both"/>
        <w:rPr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uk-UA" w:eastAsia="uk-UA"/>
        </w:rPr>
        <w:t>надання Оператору ринку інформації щодо Рахунку ескроу</w:t>
      </w:r>
      <w:r>
        <w:rPr>
          <w:sz w:val="22"/>
          <w:szCs w:val="22"/>
          <w:lang w:val="uk-UA" w:eastAsia="uk-UA"/>
        </w:rPr>
        <w:t>, каналами зв‘язку, визначеними Заявою-Договором, договором Банку з Оператором ринку, нормативними документами Регулятора та/або Оператора ринку;</w:t>
      </w:r>
    </w:p>
    <w:p w:rsidR="00500A66" w:rsidRDefault="0029108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426" w:right="227" w:firstLine="567"/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надання Оператору ринку доступу до Рахунку ескроу засобами Системи в обсязі, на умовах та в спосіб, передбачений Заявою-Договором, договором Банку з Оператором ринку, нормативними документами Регулятора та/або Оператора ринку, в тому числі доступ до перегляду Рахунку ескроу Клієнта в будь-який час без обмежень та право отримувати будь-яку іншу інформацію щодо Рахунку ескроу для належного виконання ним своїх зобов’язань відповідно до вимог Правил РДН/ВДР;</w:t>
      </w:r>
    </w:p>
    <w:p w:rsidR="00500A66" w:rsidRDefault="0029108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426" w:right="227" w:firstLine="567"/>
        <w:jc w:val="both"/>
        <w:rPr>
          <w:color w:val="000000"/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uk-UA" w:eastAsia="uk-UA"/>
        </w:rPr>
        <w:t>надання Оператору ринку можливості створення та подання до Банку засобами Системи інформації та електронних розрахункових документів (чи інших Платіжних інструментів у визначений законодавством спосіб), необхідних для ініціювання операцій за Рахунком ескроу;</w:t>
      </w:r>
    </w:p>
    <w:p w:rsidR="00500A66" w:rsidRDefault="0029108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426" w:right="227" w:firstLine="567"/>
        <w:jc w:val="both"/>
        <w:rPr>
          <w:color w:val="000000"/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uk-UA" w:eastAsia="uk-UA"/>
        </w:rPr>
        <w:t>надання Оператору ринку інформації про рух коштів та залишки коштів по Рахунку ескроу.</w:t>
      </w:r>
    </w:p>
    <w:p w:rsidR="00500A66" w:rsidRDefault="00500A66">
      <w:pPr>
        <w:widowControl w:val="0"/>
        <w:ind w:left="426" w:right="227" w:firstLine="567"/>
        <w:jc w:val="both"/>
        <w:rPr>
          <w:rFonts w:eastAsia="Times New Roman"/>
          <w:sz w:val="22"/>
          <w:szCs w:val="22"/>
          <w:lang w:val="uk-UA" w:eastAsia="ru-RU"/>
        </w:rPr>
      </w:pPr>
    </w:p>
    <w:p w:rsidR="00500A66" w:rsidRDefault="00291087">
      <w:pPr>
        <w:widowControl w:val="0"/>
        <w:ind w:left="426" w:right="227" w:firstLine="567"/>
        <w:jc w:val="both"/>
        <w:rPr>
          <w:rFonts w:eastAsia="Times New Roman" w:cs="Journal"/>
          <w:sz w:val="22"/>
          <w:szCs w:val="22"/>
          <w:lang w:val="uk-UA" w:eastAsia="ru-RU"/>
        </w:rPr>
      </w:pPr>
      <w:r>
        <w:rPr>
          <w:rFonts w:eastAsia="Times New Roman"/>
          <w:sz w:val="22"/>
          <w:szCs w:val="22"/>
          <w:lang w:val="uk-UA" w:eastAsia="ru-RU"/>
        </w:rPr>
        <w:t xml:space="preserve">Підтверджую та визнаю, що доступ до Рахунку ескроу та право розпорядження коштами при здійсненні операцій за Рахунком ескроу надається Банком Оператору ринку на підставі Заявки про підключення (внесення змін)/відключення Системи Банком, наданої Оператором ринку до Банку та актуальної станом на дату відкриття Рахунку ескроу. </w:t>
      </w:r>
    </w:p>
    <w:p w:rsidR="00500A66" w:rsidRDefault="00500A66">
      <w:pPr>
        <w:widowControl w:val="0"/>
        <w:ind w:hanging="360"/>
        <w:jc w:val="both"/>
        <w:rPr>
          <w:rFonts w:eastAsia="Times New Roman" w:cs="Journal"/>
          <w:sz w:val="22"/>
          <w:szCs w:val="22"/>
          <w:lang w:val="uk-UA" w:eastAsia="ru-RU"/>
        </w:rPr>
      </w:pPr>
    </w:p>
    <w:tbl>
      <w:tblPr>
        <w:tblW w:w="3643" w:type="dxa"/>
        <w:tblLook w:val="04A0" w:firstRow="1" w:lastRow="0" w:firstColumn="1" w:lastColumn="0" w:noHBand="0" w:noVBand="1"/>
      </w:tblPr>
      <w:tblGrid>
        <w:gridCol w:w="326"/>
        <w:gridCol w:w="357"/>
        <w:gridCol w:w="326"/>
        <w:gridCol w:w="1433"/>
        <w:gridCol w:w="546"/>
        <w:gridCol w:w="274"/>
        <w:gridCol w:w="381"/>
      </w:tblGrid>
      <w:tr w:rsidR="00500A66">
        <w:tc>
          <w:tcPr>
            <w:tcW w:w="316" w:type="dxa"/>
          </w:tcPr>
          <w:p w:rsidR="00500A66" w:rsidRDefault="00291087">
            <w:pPr>
              <w:widowControl w:val="0"/>
              <w:jc w:val="both"/>
              <w:rPr>
                <w:rFonts w:eastAsia="Times New Roman" w:cs="Journal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Journal"/>
                <w:sz w:val="22"/>
                <w:szCs w:val="22"/>
                <w:lang w:val="uk-UA" w:eastAsia="ru-RU"/>
              </w:rPr>
              <w:t>«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66" w:rsidRDefault="00500A66">
            <w:pPr>
              <w:widowControl w:val="0"/>
              <w:jc w:val="both"/>
              <w:rPr>
                <w:rFonts w:eastAsia="Times New Roman" w:cs="Journal"/>
                <w:sz w:val="22"/>
                <w:szCs w:val="22"/>
                <w:lang w:val="uk-UA" w:eastAsia="ru-RU"/>
              </w:rPr>
            </w:pPr>
          </w:p>
        </w:tc>
        <w:tc>
          <w:tcPr>
            <w:tcW w:w="316" w:type="dxa"/>
          </w:tcPr>
          <w:p w:rsidR="00500A66" w:rsidRDefault="00291087">
            <w:pPr>
              <w:widowControl w:val="0"/>
              <w:jc w:val="both"/>
              <w:rPr>
                <w:rFonts w:eastAsia="Times New Roman" w:cs="Journal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Journal"/>
                <w:sz w:val="22"/>
                <w:szCs w:val="22"/>
                <w:lang w:val="uk-UA" w:eastAsia="ru-RU"/>
              </w:rPr>
              <w:t>»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66" w:rsidRDefault="00500A66">
            <w:pPr>
              <w:widowControl w:val="0"/>
              <w:jc w:val="both"/>
              <w:rPr>
                <w:rFonts w:eastAsia="Times New Roman" w:cs="Journal"/>
                <w:sz w:val="22"/>
                <w:szCs w:val="22"/>
                <w:lang w:val="uk-UA" w:eastAsia="ru-RU"/>
              </w:rPr>
            </w:pPr>
          </w:p>
        </w:tc>
        <w:tc>
          <w:tcPr>
            <w:tcW w:w="546" w:type="dxa"/>
          </w:tcPr>
          <w:p w:rsidR="00500A66" w:rsidRDefault="00291087">
            <w:pPr>
              <w:widowControl w:val="0"/>
              <w:jc w:val="both"/>
              <w:rPr>
                <w:rFonts w:eastAsia="Times New Roman" w:cs="Journal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Journal"/>
                <w:sz w:val="22"/>
                <w:szCs w:val="22"/>
                <w:lang w:val="uk-UA" w:eastAsia="ru-RU"/>
              </w:rPr>
              <w:t>202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66" w:rsidRDefault="00500A66">
            <w:pPr>
              <w:widowControl w:val="0"/>
              <w:jc w:val="both"/>
              <w:rPr>
                <w:rFonts w:eastAsia="Times New Roman" w:cs="Journal"/>
                <w:sz w:val="22"/>
                <w:szCs w:val="22"/>
                <w:lang w:val="uk-UA" w:eastAsia="ru-RU"/>
              </w:rPr>
            </w:pPr>
          </w:p>
        </w:tc>
        <w:tc>
          <w:tcPr>
            <w:tcW w:w="381" w:type="dxa"/>
          </w:tcPr>
          <w:p w:rsidR="00500A66" w:rsidRDefault="00291087">
            <w:pPr>
              <w:widowControl w:val="0"/>
              <w:jc w:val="both"/>
              <w:rPr>
                <w:rFonts w:eastAsia="Times New Roman" w:cs="Journal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Journal"/>
                <w:sz w:val="22"/>
                <w:szCs w:val="22"/>
                <w:lang w:val="uk-UA" w:eastAsia="ru-RU"/>
              </w:rPr>
              <w:t xml:space="preserve">р.  </w:t>
            </w:r>
          </w:p>
        </w:tc>
      </w:tr>
    </w:tbl>
    <w:p w:rsidR="00500A66" w:rsidRDefault="00500A66">
      <w:pPr>
        <w:widowControl w:val="0"/>
        <w:ind w:hanging="360"/>
        <w:jc w:val="both"/>
        <w:rPr>
          <w:rFonts w:eastAsia="Times New Roman" w:cs="Journal"/>
          <w:sz w:val="22"/>
          <w:szCs w:val="22"/>
          <w:lang w:val="uk-UA" w:eastAsia="ru-RU"/>
        </w:rPr>
      </w:pPr>
    </w:p>
    <w:tbl>
      <w:tblPr>
        <w:tblW w:w="9781" w:type="dxa"/>
        <w:tblInd w:w="426" w:type="dxa"/>
        <w:tblLook w:val="04A0" w:firstRow="1" w:lastRow="0" w:firstColumn="1" w:lastColumn="0" w:noHBand="0" w:noVBand="1"/>
      </w:tblPr>
      <w:tblGrid>
        <w:gridCol w:w="3403"/>
        <w:gridCol w:w="283"/>
        <w:gridCol w:w="2693"/>
        <w:gridCol w:w="567"/>
        <w:gridCol w:w="2835"/>
      </w:tblGrid>
      <w:tr w:rsidR="00500A66">
        <w:trPr>
          <w:cantSplit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66" w:rsidRDefault="00500A66">
            <w:pPr>
              <w:widowControl w:val="0"/>
              <w:ind w:left="-108"/>
              <w:jc w:val="both"/>
              <w:rPr>
                <w:rFonts w:eastAsia="Times New Roman" w:cs="Journal"/>
                <w:sz w:val="22"/>
                <w:szCs w:val="22"/>
                <w:lang w:val="uk-UA" w:eastAsia="ru-RU"/>
              </w:rPr>
            </w:pPr>
          </w:p>
        </w:tc>
        <w:tc>
          <w:tcPr>
            <w:tcW w:w="283" w:type="dxa"/>
            <w:vMerge w:val="restart"/>
          </w:tcPr>
          <w:p w:rsidR="00500A66" w:rsidRDefault="00500A66">
            <w:pPr>
              <w:widowControl w:val="0"/>
              <w:jc w:val="both"/>
              <w:rPr>
                <w:rFonts w:eastAsia="Times New Roman" w:cs="Journal"/>
                <w:sz w:val="22"/>
                <w:szCs w:val="22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66" w:rsidRDefault="00500A66">
            <w:pPr>
              <w:widowControl w:val="0"/>
              <w:jc w:val="both"/>
              <w:rPr>
                <w:rFonts w:eastAsia="Times New Roman" w:cs="Journal"/>
                <w:sz w:val="22"/>
                <w:szCs w:val="22"/>
                <w:lang w:val="uk-UA" w:eastAsia="ru-RU"/>
              </w:rPr>
            </w:pPr>
          </w:p>
        </w:tc>
        <w:tc>
          <w:tcPr>
            <w:tcW w:w="567" w:type="dxa"/>
            <w:vMerge w:val="restart"/>
          </w:tcPr>
          <w:p w:rsidR="00500A66" w:rsidRDefault="00291087">
            <w:pPr>
              <w:widowControl w:val="0"/>
              <w:jc w:val="both"/>
              <w:rPr>
                <w:rFonts w:eastAsia="Times New Roman" w:cs="Journal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Journal"/>
                <w:sz w:val="22"/>
                <w:szCs w:val="22"/>
                <w:lang w:val="uk-UA"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66" w:rsidRDefault="00500A66">
            <w:pPr>
              <w:widowControl w:val="0"/>
              <w:jc w:val="both"/>
              <w:rPr>
                <w:rFonts w:eastAsia="Times New Roman" w:cs="Journal"/>
                <w:sz w:val="22"/>
                <w:szCs w:val="22"/>
                <w:lang w:val="uk-UA" w:eastAsia="ru-RU"/>
              </w:rPr>
            </w:pPr>
          </w:p>
        </w:tc>
      </w:tr>
      <w:tr w:rsidR="00500A66">
        <w:trPr>
          <w:cantSplit/>
          <w:trHeight w:val="81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A66" w:rsidRDefault="00291087">
            <w:pPr>
              <w:widowControl w:val="0"/>
              <w:ind w:left="-108"/>
              <w:jc w:val="center"/>
              <w:rPr>
                <w:rFonts w:eastAsia="Times New Roman" w:cs="Journal"/>
                <w:i/>
                <w:sz w:val="22"/>
                <w:szCs w:val="22"/>
                <w:lang w:val="uk-UA" w:eastAsia="ru-RU"/>
              </w:rPr>
            </w:pPr>
            <w:r>
              <w:rPr>
                <w:rFonts w:eastAsia="Times New Roman" w:cs="Journal"/>
                <w:i/>
                <w:sz w:val="22"/>
                <w:szCs w:val="22"/>
                <w:lang w:val="uk-UA" w:eastAsia="ru-RU"/>
              </w:rPr>
              <w:t>(Посада)</w:t>
            </w:r>
          </w:p>
        </w:tc>
        <w:tc>
          <w:tcPr>
            <w:tcW w:w="0" w:type="auto"/>
            <w:vMerge/>
            <w:vAlign w:val="center"/>
          </w:tcPr>
          <w:p w:rsidR="00500A66" w:rsidRDefault="00500A66">
            <w:pPr>
              <w:widowControl w:val="0"/>
              <w:jc w:val="both"/>
              <w:rPr>
                <w:rFonts w:eastAsia="Times New Roman" w:cs="Journal"/>
                <w:i/>
                <w:sz w:val="22"/>
                <w:szCs w:val="22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A66" w:rsidRDefault="00291087">
            <w:pPr>
              <w:widowControl w:val="0"/>
              <w:jc w:val="center"/>
              <w:rPr>
                <w:rFonts w:eastAsia="Times New Roman" w:cs="Journal"/>
                <w:i/>
                <w:sz w:val="22"/>
                <w:szCs w:val="22"/>
                <w:lang w:val="uk-UA" w:eastAsia="ru-RU"/>
              </w:rPr>
            </w:pPr>
            <w:r>
              <w:rPr>
                <w:rFonts w:eastAsia="Times New Roman" w:cs="Journal"/>
                <w:i/>
                <w:sz w:val="22"/>
                <w:szCs w:val="22"/>
                <w:lang w:val="uk-UA" w:eastAsia="ru-RU"/>
              </w:rPr>
              <w:t>(</w:t>
            </w:r>
            <w:r>
              <w:rPr>
                <w:i/>
                <w:iCs/>
                <w:sz w:val="16"/>
                <w:szCs w:val="16"/>
                <w:lang w:val="uk-UA"/>
              </w:rPr>
              <w:t>підпис/ЕП</w:t>
            </w:r>
            <w:r>
              <w:rPr>
                <w:rFonts w:eastAsia="Times New Roman" w:cs="Journal"/>
                <w:i/>
                <w:sz w:val="22"/>
                <w:szCs w:val="22"/>
                <w:lang w:val="uk-UA" w:eastAsia="ru-RU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500A66" w:rsidRDefault="00500A66">
            <w:pPr>
              <w:widowControl w:val="0"/>
              <w:jc w:val="both"/>
              <w:rPr>
                <w:rFonts w:eastAsia="Times New Roman" w:cs="Journal"/>
                <w:i/>
                <w:sz w:val="22"/>
                <w:szCs w:val="22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A66" w:rsidRDefault="00291087">
            <w:pPr>
              <w:widowControl w:val="0"/>
              <w:jc w:val="center"/>
              <w:rPr>
                <w:rFonts w:eastAsia="Times New Roman" w:cs="Journal"/>
                <w:i/>
                <w:sz w:val="22"/>
                <w:szCs w:val="22"/>
                <w:lang w:val="uk-UA" w:eastAsia="ru-RU"/>
              </w:rPr>
            </w:pPr>
            <w:r>
              <w:rPr>
                <w:rFonts w:eastAsia="Times New Roman" w:cs="Journal"/>
                <w:i/>
                <w:sz w:val="22"/>
                <w:szCs w:val="22"/>
                <w:lang w:val="uk-UA" w:eastAsia="ru-RU"/>
              </w:rPr>
              <w:t>(Прізвище та ініціали)</w:t>
            </w:r>
          </w:p>
        </w:tc>
      </w:tr>
    </w:tbl>
    <w:p w:rsidR="00500A66" w:rsidRDefault="00291087">
      <w:pPr>
        <w:widowControl w:val="0"/>
        <w:pBdr>
          <w:bottom w:val="single" w:sz="12" w:space="1" w:color="auto"/>
        </w:pBdr>
        <w:ind w:left="-142" w:firstLine="3686"/>
        <w:jc w:val="both"/>
        <w:rPr>
          <w:rFonts w:eastAsia="Times New Roman" w:cs="Journal"/>
          <w:i/>
          <w:iCs/>
          <w:sz w:val="22"/>
          <w:szCs w:val="22"/>
          <w:lang w:val="uk-UA" w:eastAsia="ru-RU"/>
        </w:rPr>
      </w:pPr>
      <w:r>
        <w:rPr>
          <w:rFonts w:eastAsia="Times New Roman" w:cs="Journal"/>
          <w:i/>
          <w:iCs/>
          <w:sz w:val="22"/>
          <w:szCs w:val="22"/>
          <w:lang w:val="uk-UA" w:eastAsia="ru-RU"/>
        </w:rPr>
        <w:t>М.П. (за наявності)</w:t>
      </w:r>
    </w:p>
    <w:p w:rsidR="00500A66" w:rsidRDefault="00291087">
      <w:pPr>
        <w:widowControl w:val="0"/>
        <w:pBdr>
          <w:bottom w:val="single" w:sz="12" w:space="1" w:color="auto"/>
        </w:pBdr>
        <w:ind w:left="-142"/>
        <w:rPr>
          <w:rFonts w:eastAsia="Times New Roman" w:cs="Journal"/>
          <w:i/>
          <w:iCs/>
          <w:sz w:val="22"/>
          <w:szCs w:val="22"/>
          <w:lang w:val="uk-UA" w:eastAsia="ru-RU"/>
        </w:rPr>
      </w:pPr>
      <w:r>
        <w:rPr>
          <w:rFonts w:eastAsia="Times New Roman" w:cs="Journal"/>
          <w:i/>
          <w:iCs/>
          <w:sz w:val="22"/>
          <w:szCs w:val="22"/>
          <w:lang w:val="uk-UA" w:eastAsia="ru-RU"/>
        </w:rPr>
        <w:t xml:space="preserve"> </w:t>
      </w:r>
    </w:p>
    <w:p w:rsidR="00500A66" w:rsidRDefault="00500A66">
      <w:pPr>
        <w:widowControl w:val="0"/>
        <w:pBdr>
          <w:bottom w:val="single" w:sz="12" w:space="1" w:color="auto"/>
        </w:pBdr>
        <w:ind w:left="-142"/>
        <w:jc w:val="both"/>
        <w:rPr>
          <w:rFonts w:eastAsia="Times New Roman" w:cs="Journal"/>
          <w:i/>
          <w:iCs/>
          <w:sz w:val="22"/>
          <w:szCs w:val="22"/>
          <w:lang w:val="uk-UA" w:eastAsia="ru-RU"/>
        </w:rPr>
      </w:pPr>
    </w:p>
    <w:p w:rsidR="00500A66" w:rsidRDefault="00500A66">
      <w:pPr>
        <w:widowControl w:val="0"/>
        <w:pBdr>
          <w:bottom w:val="single" w:sz="12" w:space="1" w:color="auto"/>
        </w:pBdr>
        <w:ind w:left="-142"/>
        <w:jc w:val="both"/>
        <w:rPr>
          <w:rFonts w:eastAsia="Times New Roman" w:cs="Journal"/>
          <w:i/>
          <w:iCs/>
          <w:sz w:val="22"/>
          <w:szCs w:val="22"/>
          <w:highlight w:val="lightGray"/>
          <w:lang w:val="uk-UA" w:eastAsia="ru-RU"/>
        </w:rPr>
      </w:pPr>
    </w:p>
    <w:p w:rsidR="00500A66" w:rsidRDefault="00500A66">
      <w:pPr>
        <w:widowControl w:val="0"/>
        <w:pBdr>
          <w:bottom w:val="single" w:sz="12" w:space="1" w:color="auto"/>
        </w:pBdr>
        <w:ind w:left="-142"/>
        <w:jc w:val="both"/>
        <w:rPr>
          <w:rFonts w:eastAsia="Times New Roman" w:cs="Journal"/>
          <w:i/>
          <w:iCs/>
          <w:sz w:val="22"/>
          <w:szCs w:val="22"/>
          <w:highlight w:val="lightGray"/>
          <w:lang w:val="uk-UA" w:eastAsia="ru-RU"/>
        </w:rPr>
      </w:pPr>
    </w:p>
    <w:p w:rsidR="00500A66" w:rsidRDefault="00291087">
      <w:pPr>
        <w:keepNext/>
        <w:widowControl w:val="0"/>
        <w:jc w:val="center"/>
        <w:outlineLvl w:val="0"/>
        <w:rPr>
          <w:rFonts w:eastAsia="Times New Roman"/>
          <w:sz w:val="22"/>
          <w:szCs w:val="22"/>
          <w:highlight w:val="lightGray"/>
          <w:lang w:val="uk-UA" w:eastAsia="ru-RU"/>
        </w:rPr>
      </w:pPr>
      <w:r>
        <w:rPr>
          <w:rFonts w:eastAsia="Times New Roman"/>
          <w:sz w:val="22"/>
          <w:szCs w:val="22"/>
          <w:highlight w:val="lightGray"/>
          <w:lang w:val="uk-UA" w:eastAsia="ru-RU"/>
        </w:rPr>
        <w:t>ВІДМІТКИ БАНКУ</w:t>
      </w:r>
    </w:p>
    <w:p w:rsidR="00500A66" w:rsidRDefault="00291087">
      <w:pPr>
        <w:rPr>
          <w:rFonts w:eastAsia="Times New Roman"/>
          <w:sz w:val="22"/>
          <w:szCs w:val="22"/>
          <w:highlight w:val="lightGray"/>
          <w:lang w:val="uk-UA" w:eastAsia="ru-RU"/>
        </w:rPr>
      </w:pPr>
      <w:r>
        <w:rPr>
          <w:rFonts w:eastAsia="Times New Roman"/>
          <w:sz w:val="22"/>
          <w:szCs w:val="22"/>
          <w:highlight w:val="lightGray"/>
          <w:lang w:val="uk-UA" w:eastAsia="ru-RU"/>
        </w:rPr>
        <w:t>Прийнято Банком:</w:t>
      </w:r>
    </w:p>
    <w:p w:rsidR="00500A66" w:rsidRDefault="00500A66">
      <w:pPr>
        <w:rPr>
          <w:rFonts w:eastAsia="Times New Roman"/>
          <w:sz w:val="22"/>
          <w:szCs w:val="22"/>
          <w:highlight w:val="lightGray"/>
          <w:lang w:val="uk-UA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4"/>
        <w:gridCol w:w="511"/>
        <w:gridCol w:w="314"/>
        <w:gridCol w:w="1453"/>
        <w:gridCol w:w="493"/>
        <w:gridCol w:w="328"/>
        <w:gridCol w:w="381"/>
        <w:gridCol w:w="567"/>
        <w:gridCol w:w="284"/>
        <w:gridCol w:w="1559"/>
        <w:gridCol w:w="283"/>
        <w:gridCol w:w="2268"/>
      </w:tblGrid>
      <w:tr w:rsidR="00500A66">
        <w:trPr>
          <w:gridAfter w:val="5"/>
          <w:wAfter w:w="4961" w:type="dxa"/>
        </w:trPr>
        <w:tc>
          <w:tcPr>
            <w:tcW w:w="314" w:type="dxa"/>
          </w:tcPr>
          <w:p w:rsidR="00500A66" w:rsidRDefault="00291087">
            <w:pPr>
              <w:widowControl w:val="0"/>
              <w:jc w:val="both"/>
              <w:rPr>
                <w:rFonts w:eastAsia="Times New Roman" w:cs="Journal"/>
                <w:sz w:val="22"/>
                <w:szCs w:val="22"/>
                <w:highlight w:val="lightGray"/>
                <w:lang w:val="uk-UA" w:eastAsia="ru-RU"/>
              </w:rPr>
            </w:pPr>
            <w:r>
              <w:rPr>
                <w:rFonts w:eastAsia="Times New Roman" w:cs="Journal"/>
                <w:sz w:val="22"/>
                <w:szCs w:val="22"/>
                <w:highlight w:val="lightGray"/>
                <w:lang w:val="uk-UA" w:eastAsia="ru-RU"/>
              </w:rPr>
              <w:t>«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66" w:rsidRDefault="00500A66">
            <w:pPr>
              <w:widowControl w:val="0"/>
              <w:jc w:val="center"/>
              <w:rPr>
                <w:rFonts w:eastAsia="Times New Roman" w:cs="Journal"/>
                <w:sz w:val="22"/>
                <w:szCs w:val="22"/>
                <w:highlight w:val="lightGray"/>
                <w:lang w:val="uk-UA" w:eastAsia="ru-RU"/>
              </w:rPr>
            </w:pPr>
          </w:p>
        </w:tc>
        <w:tc>
          <w:tcPr>
            <w:tcW w:w="314" w:type="dxa"/>
          </w:tcPr>
          <w:p w:rsidR="00500A66" w:rsidRDefault="00291087">
            <w:pPr>
              <w:widowControl w:val="0"/>
              <w:jc w:val="both"/>
              <w:rPr>
                <w:rFonts w:eastAsia="Times New Roman" w:cs="Journal"/>
                <w:sz w:val="22"/>
                <w:szCs w:val="22"/>
                <w:highlight w:val="lightGray"/>
                <w:lang w:val="uk-UA" w:eastAsia="ru-RU"/>
              </w:rPr>
            </w:pPr>
            <w:r>
              <w:rPr>
                <w:rFonts w:eastAsia="Times New Roman" w:cs="Journal"/>
                <w:sz w:val="22"/>
                <w:szCs w:val="22"/>
                <w:highlight w:val="lightGray"/>
                <w:lang w:val="uk-UA" w:eastAsia="ru-RU"/>
              </w:rPr>
              <w:t>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66" w:rsidRDefault="00500A66">
            <w:pPr>
              <w:widowControl w:val="0"/>
              <w:jc w:val="center"/>
              <w:rPr>
                <w:rFonts w:eastAsia="Times New Roman" w:cs="Journal"/>
                <w:sz w:val="22"/>
                <w:szCs w:val="22"/>
                <w:highlight w:val="lightGray"/>
                <w:lang w:val="uk-UA" w:eastAsia="ru-RU"/>
              </w:rPr>
            </w:pPr>
          </w:p>
        </w:tc>
        <w:tc>
          <w:tcPr>
            <w:tcW w:w="493" w:type="dxa"/>
          </w:tcPr>
          <w:p w:rsidR="00500A66" w:rsidRDefault="00291087">
            <w:pPr>
              <w:widowControl w:val="0"/>
              <w:ind w:right="-108"/>
              <w:jc w:val="center"/>
              <w:rPr>
                <w:rFonts w:eastAsia="Times New Roman" w:cs="Journal"/>
                <w:sz w:val="22"/>
                <w:szCs w:val="22"/>
                <w:highlight w:val="lightGray"/>
                <w:lang w:val="uk-UA" w:eastAsia="ru-RU"/>
              </w:rPr>
            </w:pPr>
            <w:r>
              <w:rPr>
                <w:rFonts w:eastAsia="Times New Roman" w:cs="Journal"/>
                <w:sz w:val="22"/>
                <w:szCs w:val="22"/>
                <w:highlight w:val="lightGray"/>
                <w:lang w:val="uk-UA" w:eastAsia="ru-RU"/>
              </w:rPr>
              <w:t>202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66" w:rsidRDefault="00500A66">
            <w:pPr>
              <w:widowControl w:val="0"/>
              <w:ind w:right="-64"/>
              <w:jc w:val="center"/>
              <w:rPr>
                <w:rFonts w:eastAsia="Times New Roman" w:cs="Journal"/>
                <w:sz w:val="22"/>
                <w:szCs w:val="22"/>
                <w:highlight w:val="lightGray"/>
                <w:lang w:val="uk-UA" w:eastAsia="ru-RU"/>
              </w:rPr>
            </w:pPr>
          </w:p>
        </w:tc>
        <w:tc>
          <w:tcPr>
            <w:tcW w:w="381" w:type="dxa"/>
          </w:tcPr>
          <w:p w:rsidR="00500A66" w:rsidRDefault="00291087">
            <w:pPr>
              <w:widowControl w:val="0"/>
              <w:jc w:val="both"/>
              <w:rPr>
                <w:rFonts w:eastAsia="Times New Roman" w:cs="Journal"/>
                <w:sz w:val="22"/>
                <w:szCs w:val="22"/>
                <w:highlight w:val="lightGray"/>
                <w:lang w:val="uk-UA" w:eastAsia="ru-RU"/>
              </w:rPr>
            </w:pPr>
            <w:r>
              <w:rPr>
                <w:rFonts w:eastAsia="Times New Roman" w:cs="Journal"/>
                <w:sz w:val="22"/>
                <w:szCs w:val="22"/>
                <w:highlight w:val="lightGray"/>
                <w:lang w:val="uk-UA" w:eastAsia="ru-RU"/>
              </w:rPr>
              <w:t xml:space="preserve">р.  </w:t>
            </w:r>
          </w:p>
        </w:tc>
      </w:tr>
      <w:tr w:rsidR="00500A66">
        <w:trPr>
          <w:cantSplit/>
          <w:trHeight w:val="87"/>
        </w:trPr>
        <w:tc>
          <w:tcPr>
            <w:tcW w:w="43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66" w:rsidRDefault="00500A66">
            <w:pPr>
              <w:widowControl w:val="0"/>
              <w:ind w:right="-108"/>
              <w:jc w:val="center"/>
              <w:rPr>
                <w:rFonts w:eastAsia="Times New Roman" w:cs="Journal"/>
                <w:sz w:val="22"/>
                <w:szCs w:val="22"/>
                <w:highlight w:val="lightGray"/>
                <w:lang w:val="uk-UA" w:eastAsia="ru-RU"/>
              </w:rPr>
            </w:pPr>
          </w:p>
          <w:p w:rsidR="00500A66" w:rsidRDefault="00500A66">
            <w:pPr>
              <w:widowControl w:val="0"/>
              <w:ind w:right="-108"/>
              <w:jc w:val="center"/>
              <w:rPr>
                <w:rFonts w:eastAsia="Times New Roman" w:cs="Journal"/>
                <w:sz w:val="22"/>
                <w:szCs w:val="22"/>
                <w:highlight w:val="lightGray"/>
                <w:lang w:val="uk-UA" w:eastAsia="ru-RU"/>
              </w:rPr>
            </w:pPr>
          </w:p>
        </w:tc>
        <w:tc>
          <w:tcPr>
            <w:tcW w:w="284" w:type="dxa"/>
            <w:vMerge w:val="restart"/>
          </w:tcPr>
          <w:p w:rsidR="00500A66" w:rsidRDefault="00500A66">
            <w:pPr>
              <w:widowControl w:val="0"/>
              <w:jc w:val="center"/>
              <w:rPr>
                <w:rFonts w:eastAsia="Times New Roman" w:cs="Journal"/>
                <w:sz w:val="22"/>
                <w:szCs w:val="22"/>
                <w:highlight w:val="lightGray"/>
                <w:lang w:val="uk-UA" w:eastAsia="ru-RU"/>
              </w:rPr>
            </w:pPr>
          </w:p>
        </w:tc>
        <w:tc>
          <w:tcPr>
            <w:tcW w:w="1559" w:type="dxa"/>
          </w:tcPr>
          <w:p w:rsidR="00500A66" w:rsidRDefault="00500A66">
            <w:pPr>
              <w:widowControl w:val="0"/>
              <w:jc w:val="center"/>
              <w:rPr>
                <w:rFonts w:eastAsia="Times New Roman" w:cs="Journal"/>
                <w:sz w:val="22"/>
                <w:szCs w:val="22"/>
                <w:highlight w:val="lightGray"/>
                <w:lang w:val="uk-UA" w:eastAsia="ru-RU"/>
              </w:rPr>
            </w:pPr>
          </w:p>
        </w:tc>
        <w:tc>
          <w:tcPr>
            <w:tcW w:w="283" w:type="dxa"/>
            <w:vMerge w:val="restart"/>
          </w:tcPr>
          <w:p w:rsidR="00500A66" w:rsidRDefault="00500A66">
            <w:pPr>
              <w:widowControl w:val="0"/>
              <w:jc w:val="center"/>
              <w:rPr>
                <w:rFonts w:eastAsia="Times New Roman" w:cs="Journal"/>
                <w:sz w:val="22"/>
                <w:szCs w:val="22"/>
                <w:highlight w:val="lightGray"/>
                <w:lang w:val="uk-UA" w:eastAsia="ru-RU"/>
              </w:rPr>
            </w:pPr>
          </w:p>
        </w:tc>
        <w:tc>
          <w:tcPr>
            <w:tcW w:w="2268" w:type="dxa"/>
          </w:tcPr>
          <w:p w:rsidR="00500A66" w:rsidRDefault="00500A66">
            <w:pPr>
              <w:widowControl w:val="0"/>
              <w:ind w:right="-108"/>
              <w:jc w:val="center"/>
              <w:rPr>
                <w:rFonts w:eastAsia="Times New Roman" w:cs="Journal"/>
                <w:sz w:val="22"/>
                <w:szCs w:val="22"/>
                <w:highlight w:val="lightGray"/>
                <w:lang w:val="uk-UA" w:eastAsia="ru-RU"/>
              </w:rPr>
            </w:pPr>
          </w:p>
        </w:tc>
      </w:tr>
      <w:tr w:rsidR="00500A66">
        <w:trPr>
          <w:cantSplit/>
          <w:trHeight w:val="87"/>
        </w:trPr>
        <w:tc>
          <w:tcPr>
            <w:tcW w:w="43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A66" w:rsidRDefault="00291087">
            <w:pPr>
              <w:widowControl w:val="0"/>
              <w:ind w:right="-108"/>
              <w:jc w:val="center"/>
              <w:rPr>
                <w:rFonts w:eastAsia="Times New Roman" w:cs="Journal"/>
                <w:i/>
                <w:sz w:val="22"/>
                <w:szCs w:val="22"/>
                <w:highlight w:val="lightGray"/>
                <w:lang w:val="uk-UA" w:eastAsia="ru-RU"/>
              </w:rPr>
            </w:pPr>
            <w:r>
              <w:rPr>
                <w:rFonts w:eastAsia="Times New Roman" w:cs="Journal"/>
                <w:i/>
                <w:sz w:val="22"/>
                <w:szCs w:val="22"/>
                <w:highlight w:val="lightGray"/>
                <w:lang w:val="uk-UA" w:eastAsia="ru-RU"/>
              </w:rPr>
              <w:lastRenderedPageBreak/>
              <w:t>(посада відповідального виконавця Банку,</w:t>
            </w:r>
          </w:p>
          <w:p w:rsidR="00500A66" w:rsidRDefault="00291087">
            <w:pPr>
              <w:widowControl w:val="0"/>
              <w:ind w:right="-108"/>
              <w:jc w:val="center"/>
              <w:rPr>
                <w:rFonts w:eastAsia="Times New Roman" w:cs="Journal"/>
                <w:i/>
                <w:sz w:val="22"/>
                <w:szCs w:val="22"/>
                <w:highlight w:val="lightGray"/>
                <w:lang w:val="uk-UA" w:eastAsia="ru-RU"/>
              </w:rPr>
            </w:pPr>
            <w:r>
              <w:rPr>
                <w:rFonts w:eastAsia="Times New Roman" w:cs="Journal"/>
                <w:i/>
                <w:sz w:val="22"/>
                <w:szCs w:val="22"/>
                <w:highlight w:val="lightGray"/>
                <w:lang w:val="uk-UA" w:eastAsia="ru-RU"/>
              </w:rPr>
              <w:t>який отримав повідомлення)</w:t>
            </w:r>
          </w:p>
        </w:tc>
        <w:tc>
          <w:tcPr>
            <w:tcW w:w="284" w:type="dxa"/>
            <w:vMerge/>
            <w:vAlign w:val="center"/>
          </w:tcPr>
          <w:p w:rsidR="00500A66" w:rsidRDefault="00500A66">
            <w:pPr>
              <w:widowControl w:val="0"/>
              <w:jc w:val="both"/>
              <w:rPr>
                <w:rFonts w:eastAsia="Times New Roman" w:cs="Journal"/>
                <w:i/>
                <w:sz w:val="22"/>
                <w:szCs w:val="22"/>
                <w:highlight w:val="lightGray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A66" w:rsidRDefault="00291087">
            <w:pPr>
              <w:widowControl w:val="0"/>
              <w:jc w:val="center"/>
              <w:rPr>
                <w:rFonts w:eastAsia="Times New Roman" w:cs="Journal"/>
                <w:i/>
                <w:sz w:val="22"/>
                <w:szCs w:val="22"/>
                <w:highlight w:val="lightGray"/>
                <w:lang w:val="uk-UA" w:eastAsia="ru-RU"/>
              </w:rPr>
            </w:pPr>
            <w:r>
              <w:rPr>
                <w:rFonts w:eastAsia="Times New Roman" w:cs="Journal"/>
                <w:i/>
                <w:sz w:val="22"/>
                <w:szCs w:val="22"/>
                <w:highlight w:val="lightGray"/>
                <w:lang w:val="uk-UA" w:eastAsia="ru-RU"/>
              </w:rPr>
              <w:t>(</w:t>
            </w:r>
            <w:r>
              <w:rPr>
                <w:i/>
                <w:iCs/>
                <w:sz w:val="16"/>
                <w:szCs w:val="16"/>
                <w:highlight w:val="lightGray"/>
                <w:lang w:val="uk-UA"/>
              </w:rPr>
              <w:t>підпис/ЕП</w:t>
            </w:r>
            <w:r>
              <w:rPr>
                <w:rFonts w:eastAsia="Times New Roman" w:cs="Journal"/>
                <w:i/>
                <w:sz w:val="22"/>
                <w:szCs w:val="22"/>
                <w:highlight w:val="lightGray"/>
                <w:lang w:val="uk-UA" w:eastAsia="ru-RU"/>
              </w:rPr>
              <w:t>)</w:t>
            </w:r>
          </w:p>
        </w:tc>
        <w:tc>
          <w:tcPr>
            <w:tcW w:w="283" w:type="dxa"/>
            <w:vMerge/>
            <w:vAlign w:val="center"/>
          </w:tcPr>
          <w:p w:rsidR="00500A66" w:rsidRDefault="00500A66">
            <w:pPr>
              <w:widowControl w:val="0"/>
              <w:jc w:val="both"/>
              <w:rPr>
                <w:rFonts w:eastAsia="Times New Roman" w:cs="Journal"/>
                <w:i/>
                <w:sz w:val="22"/>
                <w:szCs w:val="22"/>
                <w:highlight w:val="lightGray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A66" w:rsidRDefault="00291087">
            <w:pPr>
              <w:widowControl w:val="0"/>
              <w:ind w:right="-108"/>
              <w:jc w:val="center"/>
              <w:rPr>
                <w:rFonts w:eastAsia="Times New Roman" w:cs="Journal"/>
                <w:i/>
                <w:sz w:val="22"/>
                <w:szCs w:val="22"/>
                <w:highlight w:val="lightGray"/>
                <w:lang w:val="uk-UA" w:eastAsia="ru-RU"/>
              </w:rPr>
            </w:pPr>
            <w:r>
              <w:rPr>
                <w:rFonts w:eastAsia="Times New Roman" w:cs="Journal"/>
                <w:i/>
                <w:sz w:val="22"/>
                <w:szCs w:val="22"/>
                <w:highlight w:val="lightGray"/>
                <w:lang w:val="uk-UA" w:eastAsia="ru-RU"/>
              </w:rPr>
              <w:t>(Прізвище та ініціали)</w:t>
            </w:r>
          </w:p>
        </w:tc>
      </w:tr>
    </w:tbl>
    <w:p w:rsidR="00500A66" w:rsidRDefault="00500A66">
      <w:pPr>
        <w:widowControl w:val="0"/>
        <w:autoSpaceDE w:val="0"/>
        <w:autoSpaceDN w:val="0"/>
        <w:adjustRightInd w:val="0"/>
        <w:jc w:val="both"/>
        <w:rPr>
          <w:rFonts w:eastAsia="Times New Roman" w:cs="Journal"/>
          <w:i/>
          <w:color w:val="008000"/>
          <w:sz w:val="22"/>
          <w:szCs w:val="22"/>
          <w:highlight w:val="lightGray"/>
          <w:lang w:val="uk-UA" w:eastAsia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500A66">
        <w:trPr>
          <w:trHeight w:val="886"/>
        </w:trPr>
        <w:tc>
          <w:tcPr>
            <w:tcW w:w="2518" w:type="dxa"/>
            <w:vAlign w:val="center"/>
          </w:tcPr>
          <w:p w:rsidR="00500A66" w:rsidRDefault="00291087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i/>
                <w:color w:val="80808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i/>
                <w:color w:val="808080"/>
                <w:sz w:val="22"/>
                <w:szCs w:val="22"/>
                <w:highlight w:val="lightGray"/>
                <w:lang w:val="uk-UA" w:eastAsia="ru-RU"/>
              </w:rPr>
              <w:t>відбиток штампу Банка</w:t>
            </w:r>
          </w:p>
        </w:tc>
      </w:tr>
    </w:tbl>
    <w:p w:rsidR="00500A66" w:rsidRDefault="00500A66">
      <w:pPr>
        <w:ind w:left="3960" w:firstLine="1080"/>
        <w:jc w:val="right"/>
        <w:rPr>
          <w:rFonts w:eastAsia="Times New Roman" w:cs="Journal"/>
          <w:b/>
          <w:sz w:val="22"/>
          <w:szCs w:val="22"/>
          <w:lang w:val="uk-UA" w:eastAsia="ru-RU"/>
        </w:rPr>
      </w:pPr>
    </w:p>
    <w:p w:rsidR="00500A66" w:rsidRDefault="00500A66">
      <w:pPr>
        <w:tabs>
          <w:tab w:val="left" w:pos="7095"/>
        </w:tabs>
        <w:rPr>
          <w:sz w:val="18"/>
          <w:szCs w:val="18"/>
          <w:lang w:val="uk-UA"/>
        </w:rPr>
      </w:pPr>
    </w:p>
    <w:p w:rsidR="00500A66" w:rsidRDefault="00500A66">
      <w:pPr>
        <w:tabs>
          <w:tab w:val="left" w:pos="7095"/>
        </w:tabs>
        <w:rPr>
          <w:sz w:val="18"/>
          <w:szCs w:val="18"/>
          <w:lang w:val="uk-UA"/>
        </w:rPr>
      </w:pPr>
    </w:p>
    <w:p w:rsidR="00500A66" w:rsidRDefault="00500A66">
      <w:pPr>
        <w:autoSpaceDE w:val="0"/>
        <w:autoSpaceDN w:val="0"/>
        <w:rPr>
          <w:rFonts w:eastAsia="Times New Roman"/>
          <w:bCs/>
          <w:sz w:val="20"/>
          <w:szCs w:val="20"/>
          <w:lang w:val="uk-UA" w:eastAsia="ru-RU"/>
        </w:rPr>
      </w:pPr>
    </w:p>
    <w:sectPr w:rsidR="00500A66">
      <w:headerReference w:type="default" r:id="rId10"/>
      <w:footerReference w:type="default" r:id="rId11"/>
      <w:pgSz w:w="11906" w:h="16838"/>
      <w:pgMar w:top="284" w:right="340" w:bottom="142" w:left="340" w:header="285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53" w:rsidRDefault="00557853">
      <w:r>
        <w:separator/>
      </w:r>
    </w:p>
  </w:endnote>
  <w:endnote w:type="continuationSeparator" w:id="0">
    <w:p w:rsidR="00557853" w:rsidRDefault="0055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66" w:rsidRDefault="00291087">
    <w:pPr>
      <w:pStyle w:val="af0"/>
      <w:jc w:val="center"/>
      <w:rPr>
        <w:b/>
        <w:bCs/>
        <w:sz w:val="20"/>
        <w:lang w:val="uk-UA"/>
      </w:rPr>
    </w:pPr>
    <w:r>
      <w:rPr>
        <w:sz w:val="20"/>
        <w:lang w:val="uk-UA"/>
      </w:rPr>
      <w:t xml:space="preserve">аркуш </w:t>
    </w:r>
    <w:r>
      <w:rPr>
        <w:b/>
        <w:bCs/>
        <w:sz w:val="20"/>
        <w:lang w:val="uk-UA"/>
      </w:rPr>
      <w:fldChar w:fldCharType="begin"/>
    </w:r>
    <w:r>
      <w:rPr>
        <w:b/>
        <w:bCs/>
        <w:sz w:val="20"/>
        <w:lang w:val="uk-UA"/>
      </w:rPr>
      <w:instrText>PAGE</w:instrText>
    </w:r>
    <w:r>
      <w:rPr>
        <w:b/>
        <w:bCs/>
        <w:sz w:val="20"/>
        <w:lang w:val="uk-UA"/>
      </w:rPr>
      <w:fldChar w:fldCharType="separate"/>
    </w:r>
    <w:r w:rsidR="00B94CBE">
      <w:rPr>
        <w:b/>
        <w:bCs/>
        <w:noProof/>
        <w:sz w:val="20"/>
        <w:lang w:val="uk-UA"/>
      </w:rPr>
      <w:t>1</w:t>
    </w:r>
    <w:r>
      <w:rPr>
        <w:b/>
        <w:bCs/>
        <w:sz w:val="20"/>
        <w:lang w:val="uk-UA"/>
      </w:rPr>
      <w:fldChar w:fldCharType="end"/>
    </w:r>
    <w:r>
      <w:rPr>
        <w:sz w:val="20"/>
        <w:lang w:val="uk-UA"/>
      </w:rPr>
      <w:t xml:space="preserve"> з </w:t>
    </w:r>
    <w:r>
      <w:rPr>
        <w:b/>
        <w:bCs/>
        <w:sz w:val="20"/>
        <w:lang w:val="uk-UA"/>
      </w:rPr>
      <w:fldChar w:fldCharType="begin"/>
    </w:r>
    <w:r>
      <w:rPr>
        <w:b/>
        <w:bCs/>
        <w:sz w:val="20"/>
        <w:lang w:val="uk-UA"/>
      </w:rPr>
      <w:instrText>NUMPAGES</w:instrText>
    </w:r>
    <w:r>
      <w:rPr>
        <w:b/>
        <w:bCs/>
        <w:sz w:val="20"/>
        <w:lang w:val="uk-UA"/>
      </w:rPr>
      <w:fldChar w:fldCharType="separate"/>
    </w:r>
    <w:r w:rsidR="00B94CBE">
      <w:rPr>
        <w:b/>
        <w:bCs/>
        <w:noProof/>
        <w:sz w:val="20"/>
        <w:lang w:val="uk-UA"/>
      </w:rPr>
      <w:t>5</w:t>
    </w:r>
    <w:r>
      <w:rPr>
        <w:b/>
        <w:bCs/>
        <w:sz w:val="20"/>
        <w:lang w:val="uk-UA"/>
      </w:rPr>
      <w:fldChar w:fldCharType="end"/>
    </w:r>
  </w:p>
  <w:p w:rsidR="00500A66" w:rsidRDefault="00500A66">
    <w:pPr>
      <w:pStyle w:val="af0"/>
      <w:pBdr>
        <w:top w:val="thickThinMediumGap" w:sz="24" w:space="0" w:color="auto"/>
      </w:pBdr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53" w:rsidRDefault="00557853">
      <w:r>
        <w:separator/>
      </w:r>
    </w:p>
  </w:footnote>
  <w:footnote w:type="continuationSeparator" w:id="0">
    <w:p w:rsidR="00557853" w:rsidRDefault="00557853">
      <w:r>
        <w:continuationSeparator/>
      </w:r>
    </w:p>
  </w:footnote>
  <w:footnote w:id="1">
    <w:p w:rsidR="00500A66" w:rsidRDefault="00291087">
      <w:pPr>
        <w:pStyle w:val="ab"/>
        <w:jc w:val="both"/>
        <w:rPr>
          <w:sz w:val="16"/>
          <w:szCs w:val="16"/>
        </w:rPr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 наявності) та номер паспорта.</w:t>
      </w:r>
    </w:p>
  </w:footnote>
  <w:footnote w:id="2">
    <w:p w:rsidR="00500A66" w:rsidRDefault="00291087">
      <w:pPr>
        <w:autoSpaceDE w:val="0"/>
        <w:autoSpaceDN w:val="0"/>
        <w:adjustRightInd w:val="0"/>
        <w:rPr>
          <w:sz w:val="16"/>
          <w:szCs w:val="16"/>
          <w:lang w:val="uk-UA" w:eastAsia="uk-UA"/>
        </w:rPr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 w:eastAsia="uk-UA"/>
        </w:rPr>
        <w:t>Заповнюється фізичною особою - підприємцем згідно з вимогами Національного класифікатора України "Класифікація видів економічної діяльності ДК 009:2010", затвердженого наказом Державного комітету з питань технічного регулювання та споживчої політики від 11 жовтня 2010 року N 457 (зі змінами).</w:t>
      </w:r>
    </w:p>
  </w:footnote>
  <w:footnote w:id="3">
    <w:p w:rsidR="00500A66" w:rsidRDefault="00291087">
      <w:pPr>
        <w:pStyle w:val="ab"/>
        <w:rPr>
          <w:sz w:val="16"/>
          <w:szCs w:val="16"/>
          <w:lang w:val="ru-RU"/>
        </w:rPr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Зазначається номер рахунку у форматі </w:t>
      </w:r>
      <w:r>
        <w:rPr>
          <w:i/>
          <w:sz w:val="16"/>
          <w:szCs w:val="16"/>
          <w:lang w:val="en-US"/>
        </w:rPr>
        <w:t>IBAN</w:t>
      </w:r>
    </w:p>
  </w:footnote>
  <w:footnote w:id="4">
    <w:p w:rsidR="00500A66" w:rsidRDefault="00291087">
      <w:pPr>
        <w:pStyle w:val="ab"/>
        <w:rPr>
          <w:sz w:val="14"/>
          <w:szCs w:val="14"/>
        </w:rPr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Зазначається посада та ПІБ особи, що представляє Клієнта перед Банком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66" w:rsidRDefault="00291087">
    <w:pPr>
      <w:pStyle w:val="ac"/>
      <w:pBdr>
        <w:bottom w:val="thinThickMediumGap" w:sz="24" w:space="0" w:color="auto"/>
      </w:pBdr>
      <w:jc w:val="center"/>
      <w:rPr>
        <w:b/>
        <w:lang w:val="uk-UA"/>
      </w:rPr>
    </w:pPr>
    <w:bookmarkStart w:id="1" w:name="_Hlk215292295"/>
    <w:bookmarkStart w:id="2" w:name="_Hlk215292296"/>
    <w:bookmarkStart w:id="3" w:name="_Hlk215292294"/>
    <w:bookmarkStart w:id="4" w:name="_Hlk215292307"/>
    <w:bookmarkStart w:id="5" w:name="_Hlk215292308"/>
    <w:bookmarkStart w:id="6" w:name="_Hlk215292309"/>
    <w:r>
      <w:rPr>
        <w:b/>
      </w:rPr>
      <w:t>АБ «УКРГАЗБАНК</w:t>
    </w:r>
    <w:bookmarkEnd w:id="1"/>
    <w:bookmarkEnd w:id="2"/>
    <w:bookmarkEnd w:id="3"/>
    <w:bookmarkEnd w:id="4"/>
    <w:bookmarkEnd w:id="5"/>
    <w:bookmarkEnd w:id="6"/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0430"/>
    <w:multiLevelType w:val="multilevel"/>
    <w:tmpl w:val="180704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8BC"/>
    <w:multiLevelType w:val="multilevel"/>
    <w:tmpl w:val="344C08B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306F8"/>
    <w:multiLevelType w:val="multilevel"/>
    <w:tmpl w:val="3BF306F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9538F"/>
    <w:multiLevelType w:val="multilevel"/>
    <w:tmpl w:val="4E19538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87E4439"/>
    <w:multiLevelType w:val="multilevel"/>
    <w:tmpl w:val="787E4439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30" w:hanging="360"/>
      </w:pPr>
    </w:lvl>
    <w:lvl w:ilvl="2">
      <w:start w:val="1"/>
      <w:numFmt w:val="lowerRoman"/>
      <w:lvlText w:val="%3."/>
      <w:lvlJc w:val="right"/>
      <w:pPr>
        <w:ind w:left="2050" w:hanging="180"/>
      </w:pPr>
    </w:lvl>
    <w:lvl w:ilvl="3">
      <w:start w:val="1"/>
      <w:numFmt w:val="decimal"/>
      <w:lvlText w:val="%4."/>
      <w:lvlJc w:val="left"/>
      <w:pPr>
        <w:ind w:left="2770" w:hanging="360"/>
      </w:pPr>
    </w:lvl>
    <w:lvl w:ilvl="4">
      <w:start w:val="1"/>
      <w:numFmt w:val="lowerLetter"/>
      <w:lvlText w:val="%5."/>
      <w:lvlJc w:val="left"/>
      <w:pPr>
        <w:ind w:left="3490" w:hanging="360"/>
      </w:pPr>
    </w:lvl>
    <w:lvl w:ilvl="5">
      <w:start w:val="1"/>
      <w:numFmt w:val="lowerRoman"/>
      <w:lvlText w:val="%6."/>
      <w:lvlJc w:val="right"/>
      <w:pPr>
        <w:ind w:left="4210" w:hanging="180"/>
      </w:pPr>
    </w:lvl>
    <w:lvl w:ilvl="6">
      <w:start w:val="1"/>
      <w:numFmt w:val="decimal"/>
      <w:lvlText w:val="%7."/>
      <w:lvlJc w:val="left"/>
      <w:pPr>
        <w:ind w:left="4930" w:hanging="360"/>
      </w:pPr>
    </w:lvl>
    <w:lvl w:ilvl="7">
      <w:start w:val="1"/>
      <w:numFmt w:val="lowerLetter"/>
      <w:lvlText w:val="%8."/>
      <w:lvlJc w:val="left"/>
      <w:pPr>
        <w:ind w:left="5650" w:hanging="360"/>
      </w:pPr>
    </w:lvl>
    <w:lvl w:ilvl="8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38"/>
    <w:rsid w:val="00053C60"/>
    <w:rsid w:val="00097F58"/>
    <w:rsid w:val="000A4B35"/>
    <w:rsid w:val="000B07BA"/>
    <w:rsid w:val="00122F33"/>
    <w:rsid w:val="0013604E"/>
    <w:rsid w:val="0018256D"/>
    <w:rsid w:val="001D0EA0"/>
    <w:rsid w:val="001E03FE"/>
    <w:rsid w:val="00253B25"/>
    <w:rsid w:val="0027356A"/>
    <w:rsid w:val="002837E4"/>
    <w:rsid w:val="00291087"/>
    <w:rsid w:val="002E5A2B"/>
    <w:rsid w:val="003211A7"/>
    <w:rsid w:val="003300C9"/>
    <w:rsid w:val="00343CF3"/>
    <w:rsid w:val="00345038"/>
    <w:rsid w:val="00347EB3"/>
    <w:rsid w:val="00363625"/>
    <w:rsid w:val="003E40AD"/>
    <w:rsid w:val="003F70F9"/>
    <w:rsid w:val="00401DCB"/>
    <w:rsid w:val="004727E9"/>
    <w:rsid w:val="00487589"/>
    <w:rsid w:val="004D5070"/>
    <w:rsid w:val="00500A66"/>
    <w:rsid w:val="0050743A"/>
    <w:rsid w:val="00546102"/>
    <w:rsid w:val="00557853"/>
    <w:rsid w:val="00581E47"/>
    <w:rsid w:val="00586BA8"/>
    <w:rsid w:val="005C08CA"/>
    <w:rsid w:val="00627908"/>
    <w:rsid w:val="006A7229"/>
    <w:rsid w:val="006B5A0B"/>
    <w:rsid w:val="006E2B70"/>
    <w:rsid w:val="0070729D"/>
    <w:rsid w:val="00716C95"/>
    <w:rsid w:val="007258DC"/>
    <w:rsid w:val="007623F0"/>
    <w:rsid w:val="00773FDA"/>
    <w:rsid w:val="007776AD"/>
    <w:rsid w:val="00777F82"/>
    <w:rsid w:val="00785E2C"/>
    <w:rsid w:val="007B1661"/>
    <w:rsid w:val="007D178C"/>
    <w:rsid w:val="0083371B"/>
    <w:rsid w:val="00853574"/>
    <w:rsid w:val="00892ADC"/>
    <w:rsid w:val="008C615C"/>
    <w:rsid w:val="008C6FCB"/>
    <w:rsid w:val="008F4FA6"/>
    <w:rsid w:val="00966B2E"/>
    <w:rsid w:val="009712A0"/>
    <w:rsid w:val="00995D2F"/>
    <w:rsid w:val="009B137E"/>
    <w:rsid w:val="009E3A38"/>
    <w:rsid w:val="00A0115A"/>
    <w:rsid w:val="00A05034"/>
    <w:rsid w:val="00A373B1"/>
    <w:rsid w:val="00A54CAA"/>
    <w:rsid w:val="00AA6335"/>
    <w:rsid w:val="00AC73D8"/>
    <w:rsid w:val="00B94CBE"/>
    <w:rsid w:val="00BC47BE"/>
    <w:rsid w:val="00BD15E6"/>
    <w:rsid w:val="00C03AF0"/>
    <w:rsid w:val="00C03FFC"/>
    <w:rsid w:val="00C27927"/>
    <w:rsid w:val="00C567B0"/>
    <w:rsid w:val="00C568FF"/>
    <w:rsid w:val="00C93B0B"/>
    <w:rsid w:val="00CA7DF0"/>
    <w:rsid w:val="00D05904"/>
    <w:rsid w:val="00D34704"/>
    <w:rsid w:val="00D44532"/>
    <w:rsid w:val="00D90FC8"/>
    <w:rsid w:val="00DA5225"/>
    <w:rsid w:val="00E04848"/>
    <w:rsid w:val="00E071C4"/>
    <w:rsid w:val="00E45131"/>
    <w:rsid w:val="00E7526E"/>
    <w:rsid w:val="00E844B8"/>
    <w:rsid w:val="00EA4CF1"/>
    <w:rsid w:val="00EE62F0"/>
    <w:rsid w:val="00EF4C0A"/>
    <w:rsid w:val="00F06E67"/>
    <w:rsid w:val="00F34458"/>
    <w:rsid w:val="00F43792"/>
    <w:rsid w:val="00F75E45"/>
    <w:rsid w:val="00FC3D90"/>
    <w:rsid w:val="6923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3F9868E-9858-455D-A077-E73EE0E2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qFormat="1"/>
    <w:lsdException w:name="header" w:uiPriority="99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MS Mincho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Hyperlink"/>
    <w:qFormat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qFormat/>
    <w:rPr>
      <w:b/>
      <w:bCs/>
    </w:rPr>
  </w:style>
  <w:style w:type="paragraph" w:styleId="ab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paragraph" w:styleId="ac">
    <w:name w:val="header"/>
    <w:basedOn w:val="a"/>
    <w:link w:val="ad"/>
    <w:uiPriority w:val="99"/>
    <w:qFormat/>
    <w:pPr>
      <w:tabs>
        <w:tab w:val="center" w:pos="4677"/>
        <w:tab w:val="right" w:pos="9355"/>
      </w:tabs>
    </w:pPr>
  </w:style>
  <w:style w:type="paragraph" w:styleId="ae">
    <w:name w:val="Body Text"/>
    <w:basedOn w:val="a"/>
    <w:link w:val="af"/>
    <w:pPr>
      <w:spacing w:after="120"/>
    </w:pPr>
    <w:rPr>
      <w:rFonts w:eastAsia="Times New Roman"/>
      <w:lang w:val="uk-UA" w:eastAsia="ru-RU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styleId="af2">
    <w:name w:val="Normal (Web)"/>
    <w:basedOn w:val="a"/>
    <w:link w:val="af3"/>
    <w:uiPriority w:val="99"/>
    <w:unhideWhenUsed/>
    <w:qFormat/>
    <w:pPr>
      <w:spacing w:before="100" w:beforeAutospacing="1" w:after="100" w:afterAutospacing="1"/>
    </w:pPr>
    <w:rPr>
      <w:rFonts w:eastAsiaTheme="minorEastAsia"/>
      <w:lang w:val="uk-UA" w:eastAsia="uk-UA"/>
    </w:rPr>
  </w:style>
  <w:style w:type="table" w:styleId="2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il"/>
          <w:tr2bl w:val="nil"/>
        </w:tcBorders>
      </w:tcPr>
    </w:tblStylePr>
  </w:style>
  <w:style w:type="table" w:styleId="af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paragraph" w:customStyle="1" w:styleId="1">
    <w:name w:val="Знак1"/>
    <w:basedOn w:val="a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Основной шрифт абзаца1"/>
    <w:qFormat/>
  </w:style>
  <w:style w:type="paragraph" w:customStyle="1" w:styleId="af5">
    <w:name w:val="Знак Знак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">
    <w:name w:val="Основной текст Знак"/>
    <w:link w:val="ae"/>
    <w:qFormat/>
    <w:rPr>
      <w:rFonts w:eastAsia="Times New Roman"/>
      <w:sz w:val="24"/>
      <w:szCs w:val="24"/>
      <w:lang w:val="uk-UA"/>
    </w:rPr>
  </w:style>
  <w:style w:type="character" w:customStyle="1" w:styleId="ad">
    <w:name w:val="Верхний колонтитул Знак"/>
    <w:link w:val="ac"/>
    <w:uiPriority w:val="99"/>
    <w:qFormat/>
    <w:rPr>
      <w:sz w:val="24"/>
      <w:szCs w:val="24"/>
      <w:lang w:val="ru-RU" w:eastAsia="ja-JP"/>
    </w:rPr>
  </w:style>
  <w:style w:type="character" w:customStyle="1" w:styleId="af1">
    <w:name w:val="Нижний колонтитул Знак"/>
    <w:link w:val="af0"/>
    <w:uiPriority w:val="99"/>
    <w:qFormat/>
    <w:rPr>
      <w:sz w:val="24"/>
      <w:szCs w:val="24"/>
      <w:lang w:val="ru-RU" w:eastAsia="ja-JP"/>
    </w:rPr>
  </w:style>
  <w:style w:type="character" w:customStyle="1" w:styleId="a8">
    <w:name w:val="Текст примечания Знак"/>
    <w:link w:val="a7"/>
    <w:qFormat/>
    <w:rPr>
      <w:lang w:val="ru-RU" w:eastAsia="ja-JP"/>
    </w:rPr>
  </w:style>
  <w:style w:type="character" w:customStyle="1" w:styleId="aa">
    <w:name w:val="Тема примечания Знак"/>
    <w:link w:val="a9"/>
    <w:qFormat/>
    <w:rPr>
      <w:b/>
      <w:bCs/>
      <w:lang w:val="ru-RU" w:eastAsia="ja-JP"/>
    </w:r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af3">
    <w:name w:val="Обычный (веб) Знак"/>
    <w:link w:val="af2"/>
    <w:uiPriority w:val="99"/>
    <w:qFormat/>
    <w:rPr>
      <w:rFonts w:eastAsiaTheme="minorEastAsia"/>
      <w:sz w:val="24"/>
      <w:szCs w:val="24"/>
    </w:rPr>
  </w:style>
  <w:style w:type="character" w:customStyle="1" w:styleId="af7">
    <w:name w:val="Абзац списка Знак"/>
    <w:link w:val="af6"/>
    <w:uiPriority w:val="34"/>
    <w:qFormat/>
    <w:locked/>
    <w:rPr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krgasbank.com/private/deposits/guarant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29BB62-3A5F-4D5C-AE39-263CCD63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9546</Words>
  <Characters>5442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ЗАПОВНІТЬ, БУДЬ ЛАСКА, ЗАЯВУ-АНКЕТУ ДРУКОВАНИМИ ЛІТЕРАМИ УКРАЇНСЬКОЮ МОВОЮ</vt:lpstr>
    </vt:vector>
  </TitlesOfParts>
  <Company>УГБ</Company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ЗАПОВНІТЬ, БУДЬ ЛАСКА, ЗАЯВУ-АНКЕТУ ДРУКОВАНИМИ ЛІТЕРАМИ УКРАЇНСЬКОЮ МОВОЮ</dc:title>
  <dc:creator>Музиченко Б.В.</dc:creator>
  <cp:lastModifiedBy>Музика Людмила Миколаївна</cp:lastModifiedBy>
  <cp:revision>4</cp:revision>
  <cp:lastPrinted>2019-01-10T12:50:00Z</cp:lastPrinted>
  <dcterms:created xsi:type="dcterms:W3CDTF">2022-11-17T15:28:00Z</dcterms:created>
  <dcterms:modified xsi:type="dcterms:W3CDTF">2022-11-30T11:43:00Z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C75EFB9432B0470AA39FDC55E8978E93</vt:lpwstr>
  </property>
</Properties>
</file>