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ED6" w:rsidRDefault="005B5ED6">
      <w:pPr>
        <w:widowControl/>
        <w:ind w:left="3960" w:hanging="3420"/>
        <w:rPr>
          <w:rFonts w:ascii="Times New Roman" w:hAnsi="Times New Roman" w:cs="Times New Roman"/>
          <w:sz w:val="21"/>
          <w:szCs w:val="21"/>
          <w:lang w:val="uk-UA"/>
        </w:rPr>
      </w:pPr>
      <w:bookmarkStart w:id="0" w:name="_GoBack"/>
      <w:bookmarkEnd w:id="0"/>
    </w:p>
    <w:p w:rsidR="005B5ED6" w:rsidRDefault="005B2E08">
      <w:pPr>
        <w:widowControl/>
        <w:ind w:left="3960" w:hanging="3420"/>
        <w:rPr>
          <w:rFonts w:ascii="Times New Roman" w:hAnsi="Times New Roman" w:cs="Times New Roman"/>
          <w:sz w:val="21"/>
          <w:szCs w:val="21"/>
          <w:lang w:val="uk-UA"/>
        </w:rPr>
      </w:pPr>
      <w:r>
        <w:rPr>
          <w:noProof/>
          <w:lang w:val="uk-UA" w:eastAsia="uk-UA"/>
        </w:rPr>
        <w:drawing>
          <wp:anchor distT="0" distB="0" distL="114300" distR="114300" simplePos="0" relativeHeight="251659264" behindDoc="1" locked="0" layoutInCell="1" allowOverlap="1">
            <wp:simplePos x="0" y="0"/>
            <wp:positionH relativeFrom="column">
              <wp:posOffset>1838325</wp:posOffset>
            </wp:positionH>
            <wp:positionV relativeFrom="paragraph">
              <wp:posOffset>14605</wp:posOffset>
            </wp:positionV>
            <wp:extent cx="2484120" cy="524510"/>
            <wp:effectExtent l="0" t="0" r="0" b="8890"/>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pic:cNvPicPr>
                  </pic:nvPicPr>
                  <pic:blipFill>
                    <a:blip r:embed="rId7"/>
                    <a:stretch>
                      <a:fillRect/>
                    </a:stretch>
                  </pic:blipFill>
                  <pic:spPr>
                    <a:xfrm>
                      <a:off x="0" y="0"/>
                      <a:ext cx="2484120" cy="524510"/>
                    </a:xfrm>
                    <a:prstGeom prst="rect">
                      <a:avLst/>
                    </a:prstGeom>
                    <a:noFill/>
                    <a:ln>
                      <a:noFill/>
                    </a:ln>
                  </pic:spPr>
                </pic:pic>
              </a:graphicData>
            </a:graphic>
          </wp:anchor>
        </w:drawing>
      </w:r>
    </w:p>
    <w:p w:rsidR="005B5ED6" w:rsidRDefault="005B5ED6">
      <w:pPr>
        <w:widowControl/>
        <w:ind w:left="3960" w:hanging="3420"/>
        <w:jc w:val="right"/>
        <w:rPr>
          <w:rFonts w:ascii="Times New Roman" w:hAnsi="Times New Roman" w:cs="Times New Roman"/>
          <w:lang w:val="uk-UA"/>
        </w:rPr>
      </w:pPr>
    </w:p>
    <w:p w:rsidR="005B5ED6" w:rsidRDefault="005B5ED6">
      <w:pPr>
        <w:widowControl/>
        <w:ind w:left="3960" w:hanging="3420"/>
        <w:rPr>
          <w:rFonts w:ascii="Times New Roman" w:hAnsi="Times New Roman" w:cs="Times New Roman"/>
          <w:sz w:val="21"/>
          <w:szCs w:val="21"/>
          <w:lang w:val="uk-UA"/>
        </w:rPr>
      </w:pPr>
    </w:p>
    <w:p w:rsidR="005B5ED6" w:rsidRDefault="005B5ED6">
      <w:pPr>
        <w:widowControl/>
        <w:ind w:left="3960" w:hanging="3420"/>
        <w:rPr>
          <w:rFonts w:ascii="Times New Roman" w:hAnsi="Times New Roman" w:cs="Times New Roman"/>
          <w:sz w:val="21"/>
          <w:szCs w:val="21"/>
          <w:lang w:val="uk-UA"/>
        </w:rPr>
      </w:pPr>
    </w:p>
    <w:p w:rsidR="005B5ED6" w:rsidRDefault="005B2E08">
      <w:pPr>
        <w:widowControl/>
        <w:ind w:left="3960" w:hanging="396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Інструкція щодо забезпечення захисту ключів Кваліфікованого ЕП на клієнтському місці</w:t>
      </w:r>
    </w:p>
    <w:p w:rsidR="005B5ED6" w:rsidRDefault="005B5ED6">
      <w:pPr>
        <w:widowControl/>
        <w:ind w:left="3960" w:hanging="3960"/>
        <w:jc w:val="center"/>
        <w:rPr>
          <w:rFonts w:ascii="Times New Roman" w:hAnsi="Times New Roman" w:cs="Times New Roman"/>
          <w:b/>
          <w:bCs/>
          <w:lang w:val="uk-UA"/>
        </w:rPr>
      </w:pPr>
    </w:p>
    <w:p w:rsidR="005B5ED6" w:rsidRDefault="005B2E08">
      <w:pPr>
        <w:widowControl/>
        <w:ind w:left="426"/>
        <w:rPr>
          <w:rFonts w:ascii="Times New Roman" w:hAnsi="Times New Roman" w:cs="Times New Roman"/>
          <w:b/>
          <w:bCs/>
          <w:lang w:val="uk-UA"/>
        </w:rPr>
      </w:pPr>
      <w:r>
        <w:rPr>
          <w:rFonts w:ascii="Times New Roman" w:hAnsi="Times New Roman" w:cs="Times New Roman"/>
          <w:lang w:val="uk-UA" w:eastAsia="uk-UA"/>
        </w:rPr>
        <w:t xml:space="preserve">Всі терміни, що використовуються у тексті цієї Інструкції щодо забезпечення захисту ключів Кваліфікованого ЕП на клієнтському місці (далі – Інструкція) мають значення, викладені у Договорі комплексного банківського обслуговування. </w:t>
      </w:r>
    </w:p>
    <w:p w:rsidR="005B5ED6" w:rsidRDefault="005B5ED6">
      <w:pPr>
        <w:widowControl/>
        <w:ind w:left="3960" w:hanging="3960"/>
        <w:jc w:val="center"/>
        <w:rPr>
          <w:rFonts w:ascii="Times New Roman" w:hAnsi="Times New Roman" w:cs="Times New Roman"/>
          <w:b/>
          <w:bCs/>
          <w:lang w:val="uk-UA"/>
        </w:rPr>
      </w:pPr>
    </w:p>
    <w:p w:rsidR="005B5ED6" w:rsidRDefault="005B2E08">
      <w:pPr>
        <w:widowControl/>
        <w:numPr>
          <w:ilvl w:val="0"/>
          <w:numId w:val="3"/>
        </w:numPr>
        <w:ind w:hanging="357"/>
        <w:rPr>
          <w:rFonts w:ascii="Times New Roman" w:hAnsi="Times New Roman" w:cs="Times New Roman"/>
          <w:lang w:val="uk-UA"/>
        </w:rPr>
      </w:pPr>
      <w:r>
        <w:rPr>
          <w:rFonts w:ascii="Times New Roman" w:hAnsi="Times New Roman" w:cs="Times New Roman"/>
          <w:lang w:val="uk-UA"/>
        </w:rPr>
        <w:t xml:space="preserve">Клієнт повинен генерувати та зберігати Особистий ключ Кваліфікованого ЕП чи Печатки виключно у Засобі Кваліфікованого ЕП чи Печатки, наданому Банком, а у разі укладення між Банком та Клієнтом відповідної угоди — на власному з’ємному носію інформації (далі — Носій), у разі якщо таке зберігання дозволене законодавством у сфері електронних довірчих послуг </w:t>
      </w:r>
      <w:r>
        <w:rPr>
          <w:rFonts w:ascii="Times New Roman" w:hAnsi="Times New Roman"/>
          <w:lang w:val="uk-UA"/>
        </w:rPr>
        <w:t xml:space="preserve">та не допускати зберігання Особистого ключа </w:t>
      </w:r>
      <w:r>
        <w:rPr>
          <w:rFonts w:ascii="Times New Roman" w:hAnsi="Times New Roman" w:cs="Times New Roman"/>
          <w:lang w:val="uk-UA"/>
        </w:rPr>
        <w:t>Кваліфікованого</w:t>
      </w:r>
      <w:r>
        <w:rPr>
          <w:rFonts w:ascii="Times New Roman" w:hAnsi="Times New Roman"/>
          <w:lang w:val="uk-UA"/>
        </w:rPr>
        <w:t xml:space="preserve"> ЕП чи Печатки на комп’ютері</w:t>
      </w:r>
      <w:r>
        <w:rPr>
          <w:rFonts w:ascii="Times New Roman" w:hAnsi="Times New Roman" w:cs="Times New Roman"/>
          <w:lang w:val="uk-UA"/>
        </w:rPr>
        <w:t xml:space="preserve">. </w:t>
      </w:r>
    </w:p>
    <w:p w:rsidR="005B5ED6" w:rsidRDefault="005B2E08">
      <w:pPr>
        <w:widowControl/>
        <w:numPr>
          <w:ilvl w:val="0"/>
          <w:numId w:val="3"/>
        </w:numPr>
        <w:ind w:hanging="357"/>
        <w:rPr>
          <w:rFonts w:ascii="Times New Roman" w:hAnsi="Times New Roman" w:cs="Times New Roman"/>
          <w:lang w:val="uk-UA"/>
        </w:rPr>
      </w:pPr>
      <w:r>
        <w:rPr>
          <w:rFonts w:ascii="Times New Roman" w:hAnsi="Times New Roman" w:cs="Times New Roman"/>
          <w:lang w:val="uk-UA"/>
        </w:rPr>
        <w:t>Клієнт не має права надавати Носій з ключами Кваліфікованого ЕП у користування третім особам та іншим уповноваженим особам, якщо у Клієнта передбачено дві (або більше) груп підпису, залишати його без нагляду, повідомляти пароль (PIN-код) або код розблокування Носія, або логін, пароль та ПІН-код доступу до Особистого ключа Кваліфікованого</w:t>
      </w:r>
      <w:r>
        <w:rPr>
          <w:rFonts w:ascii="Times New Roman" w:hAnsi="Times New Roman"/>
          <w:lang w:val="uk-UA"/>
        </w:rPr>
        <w:t xml:space="preserve"> ЕП чи Печатки, що зберігається у </w:t>
      </w:r>
      <w:r>
        <w:rPr>
          <w:rFonts w:ascii="Times New Roman" w:hAnsi="Times New Roman"/>
          <w:lang w:val="en-US"/>
        </w:rPr>
        <w:t>HSM</w:t>
      </w:r>
      <w:r>
        <w:rPr>
          <w:rFonts w:ascii="Times New Roman" w:hAnsi="Times New Roman" w:cs="Times New Roman"/>
          <w:lang w:val="uk-UA"/>
        </w:rPr>
        <w:t xml:space="preserve"> третім особам, у тому числі працівникам Банку.</w:t>
      </w:r>
    </w:p>
    <w:p w:rsidR="005B5ED6" w:rsidRDefault="005B2E08">
      <w:pPr>
        <w:widowControl/>
        <w:numPr>
          <w:ilvl w:val="0"/>
          <w:numId w:val="3"/>
        </w:numPr>
        <w:autoSpaceDE w:val="0"/>
        <w:autoSpaceDN w:val="0"/>
        <w:adjustRightInd w:val="0"/>
        <w:ind w:hanging="357"/>
        <w:rPr>
          <w:rFonts w:ascii="Times New Roman" w:hAnsi="Times New Roman"/>
          <w:lang w:val="uk-UA"/>
        </w:rPr>
      </w:pPr>
      <w:r>
        <w:rPr>
          <w:rFonts w:ascii="Times New Roman" w:hAnsi="Times New Roman" w:cs="Times New Roman"/>
          <w:lang w:val="uk-UA"/>
        </w:rPr>
        <w:t>Клієнт самостійно відповідає за схоронність ключів Кваліфікованого ЕП і повинен зберігати Носій в добре захищеному місці (наприклад, в сейфі), яке виключає можливість використання Носія сторонніми особами.</w:t>
      </w:r>
    </w:p>
    <w:p w:rsidR="005B5ED6" w:rsidRDefault="005B2E08">
      <w:pPr>
        <w:numPr>
          <w:ilvl w:val="0"/>
          <w:numId w:val="3"/>
        </w:numPr>
        <w:rPr>
          <w:rFonts w:ascii="Times New Roman" w:hAnsi="Times New Roman"/>
          <w:lang w:val="uk-UA"/>
        </w:rPr>
      </w:pPr>
      <w:r>
        <w:rPr>
          <w:rFonts w:ascii="Times New Roman" w:hAnsi="Times New Roman"/>
          <w:lang w:val="uk-UA"/>
        </w:rPr>
        <w:t>Забезпечити використання виключно засобів Кваліфікованого ЕП чи Печатки для генерації Особистих та Відкритих ключів, формування та перевірки Кваліфіконого ЕП чи Печатки. Інші засоби можуть використовуватись лише у разі, якщо використання таких засобів дозволено законодавством у сфері електронних довірчих послуг.</w:t>
      </w:r>
    </w:p>
    <w:p w:rsidR="005B5ED6" w:rsidRDefault="005B2E08">
      <w:pPr>
        <w:widowControl/>
        <w:numPr>
          <w:ilvl w:val="0"/>
          <w:numId w:val="3"/>
        </w:numPr>
        <w:autoSpaceDE w:val="0"/>
        <w:autoSpaceDN w:val="0"/>
        <w:adjustRightInd w:val="0"/>
        <w:rPr>
          <w:rFonts w:ascii="Times New Roman" w:hAnsi="Times New Roman"/>
          <w:lang w:val="uk-UA"/>
        </w:rPr>
      </w:pPr>
      <w:r>
        <w:rPr>
          <w:rFonts w:ascii="Times New Roman" w:hAnsi="Times New Roman"/>
          <w:lang w:val="uk-UA"/>
        </w:rPr>
        <w:t>Використовувати Особистий ключ виключно за його призначенням, визначеним в Сертифікаті відповідного Відкритого ключа, а також додержуватися інших вимог використання Особистого ключа, визначених Регламентом КНЕДП.</w:t>
      </w:r>
    </w:p>
    <w:p w:rsidR="005B5ED6" w:rsidRDefault="005B2E08">
      <w:pPr>
        <w:widowControl/>
        <w:numPr>
          <w:ilvl w:val="0"/>
          <w:numId w:val="3"/>
        </w:numPr>
        <w:autoSpaceDE w:val="0"/>
        <w:autoSpaceDN w:val="0"/>
        <w:adjustRightInd w:val="0"/>
        <w:rPr>
          <w:rFonts w:ascii="Times New Roman" w:hAnsi="Times New Roman"/>
          <w:lang w:val="uk-UA"/>
        </w:rPr>
      </w:pPr>
      <w:r>
        <w:rPr>
          <w:rFonts w:ascii="Times New Roman" w:hAnsi="Times New Roman"/>
          <w:lang w:val="uk-UA"/>
        </w:rPr>
        <w:t xml:space="preserve">Забезпечити зберігання Особистого ключа у таємниці та у спосіб, що унеможливлює його використання іншими особами. </w:t>
      </w:r>
    </w:p>
    <w:p w:rsidR="005B5ED6" w:rsidRDefault="005B2E08">
      <w:pPr>
        <w:widowControl/>
        <w:numPr>
          <w:ilvl w:val="0"/>
          <w:numId w:val="3"/>
        </w:numPr>
        <w:autoSpaceDE w:val="0"/>
        <w:autoSpaceDN w:val="0"/>
        <w:adjustRightInd w:val="0"/>
        <w:rPr>
          <w:rFonts w:ascii="Times New Roman" w:hAnsi="Times New Roman"/>
          <w:lang w:val="uk-UA"/>
        </w:rPr>
      </w:pPr>
      <w:r>
        <w:rPr>
          <w:rFonts w:ascii="Times New Roman" w:hAnsi="Times New Roman"/>
          <w:lang w:val="uk-UA"/>
        </w:rPr>
        <w:t>Забезпечити використання Особистих ключів та паролів доступу в спосіб, що унеможливлює ознайомлення із ним інших осіб.</w:t>
      </w:r>
    </w:p>
    <w:p w:rsidR="005B5ED6" w:rsidRDefault="005B2E08">
      <w:pPr>
        <w:widowControl/>
        <w:numPr>
          <w:ilvl w:val="0"/>
          <w:numId w:val="3"/>
        </w:numPr>
        <w:autoSpaceDE w:val="0"/>
        <w:autoSpaceDN w:val="0"/>
        <w:adjustRightInd w:val="0"/>
        <w:rPr>
          <w:rFonts w:ascii="Times New Roman" w:hAnsi="Times New Roman"/>
          <w:lang w:val="uk-UA"/>
        </w:rPr>
      </w:pPr>
      <w:r>
        <w:rPr>
          <w:rFonts w:ascii="Times New Roman" w:hAnsi="Times New Roman"/>
          <w:lang w:val="uk-UA"/>
        </w:rPr>
        <w:t>Забезпечити конфіденційність своїх автентифікаційних даних доступу до Особистого ключа у HSM КНЕДП, у спосіб, що унеможливлює ознайомлення із ними інших осіб.</w:t>
      </w:r>
    </w:p>
    <w:p w:rsidR="005B5ED6" w:rsidRDefault="005B2E08">
      <w:pPr>
        <w:widowControl/>
        <w:numPr>
          <w:ilvl w:val="0"/>
          <w:numId w:val="3"/>
        </w:numPr>
        <w:autoSpaceDE w:val="0"/>
        <w:autoSpaceDN w:val="0"/>
        <w:adjustRightInd w:val="0"/>
        <w:rPr>
          <w:rFonts w:ascii="Times New Roman" w:hAnsi="Times New Roman"/>
          <w:lang w:val="uk-UA"/>
        </w:rPr>
      </w:pPr>
      <w:r>
        <w:rPr>
          <w:rFonts w:ascii="Times New Roman" w:hAnsi="Times New Roman"/>
          <w:lang w:val="uk-UA"/>
        </w:rPr>
        <w:t>Не розголошувати та не повідомляти іншим особам пароль доступу до Особистого ключа.</w:t>
      </w:r>
    </w:p>
    <w:p w:rsidR="005B5ED6" w:rsidRDefault="005B2E08">
      <w:pPr>
        <w:widowControl/>
        <w:numPr>
          <w:ilvl w:val="0"/>
          <w:numId w:val="3"/>
        </w:numPr>
        <w:autoSpaceDE w:val="0"/>
        <w:autoSpaceDN w:val="0"/>
        <w:adjustRightInd w:val="0"/>
        <w:rPr>
          <w:rFonts w:ascii="Times New Roman" w:hAnsi="Times New Roman"/>
          <w:lang w:val="uk-UA"/>
        </w:rPr>
      </w:pPr>
      <w:r>
        <w:rPr>
          <w:rFonts w:ascii="Times New Roman" w:hAnsi="Times New Roman"/>
          <w:lang w:val="uk-UA"/>
        </w:rPr>
        <w:t>Забезпечити виконання Підписувачами умов щодо нерозголошення  іншим особам коду доступу до захищеного носія Особистого ключа та парольної фрази голосової аутентифікації.</w:t>
      </w:r>
    </w:p>
    <w:p w:rsidR="005B5ED6" w:rsidRDefault="005B2E08" w:rsidP="00A43681">
      <w:pPr>
        <w:widowControl/>
        <w:numPr>
          <w:ilvl w:val="0"/>
          <w:numId w:val="3"/>
        </w:numPr>
        <w:autoSpaceDE w:val="0"/>
        <w:autoSpaceDN w:val="0"/>
        <w:adjustRightInd w:val="0"/>
        <w:rPr>
          <w:rFonts w:ascii="Times New Roman" w:hAnsi="Times New Roman"/>
          <w:lang w:val="uk-UA"/>
        </w:rPr>
      </w:pPr>
      <w:r>
        <w:rPr>
          <w:rFonts w:ascii="Times New Roman" w:hAnsi="Times New Roman"/>
          <w:lang w:val="uk-UA"/>
        </w:rPr>
        <w:t xml:space="preserve">Негайно інформувати КНЕДП про компрометацію Особистого ключа, втрату контролю щодо Особистого ключа через компрометацію пароля, коду доступу до нього, фізичне пошкодження або втрату носія тощо, виявлену неточність або зміну даних, зазначених у Сертифікаті. </w:t>
      </w:r>
    </w:p>
    <w:p w:rsidR="005B5ED6" w:rsidRDefault="005B2E08">
      <w:pPr>
        <w:widowControl/>
        <w:numPr>
          <w:ilvl w:val="0"/>
          <w:numId w:val="3"/>
        </w:numPr>
        <w:autoSpaceDE w:val="0"/>
        <w:autoSpaceDN w:val="0"/>
        <w:adjustRightInd w:val="0"/>
        <w:ind w:hanging="357"/>
        <w:rPr>
          <w:rFonts w:ascii="Times New Roman" w:hAnsi="Times New Roman"/>
          <w:lang w:val="uk-UA"/>
        </w:rPr>
      </w:pPr>
      <w:r>
        <w:rPr>
          <w:rFonts w:ascii="Times New Roman" w:hAnsi="Times New Roman" w:cs="Times New Roman"/>
          <w:lang w:val="uk-UA"/>
        </w:rPr>
        <w:t>Клієнт повинен виймати Носій з комп’ютера у моменти, коли він безпосередньо не здійснює підписання документів в Системі (при безконтрольному підключенні Носія до комп’ютера існує ризик, що зловмисник за допомогою вірусних програм отримає віддалене управління комп’ютером, і відповідно підключеним Носієм, і виконає шахрайські операції від імені Клієнта).</w:t>
      </w:r>
    </w:p>
    <w:p w:rsidR="005B5ED6" w:rsidRDefault="005B2E08">
      <w:pPr>
        <w:widowControl/>
        <w:numPr>
          <w:ilvl w:val="0"/>
          <w:numId w:val="3"/>
        </w:numPr>
        <w:autoSpaceDE w:val="0"/>
        <w:autoSpaceDN w:val="0"/>
        <w:adjustRightInd w:val="0"/>
        <w:ind w:hanging="357"/>
        <w:rPr>
          <w:rFonts w:ascii="Times New Roman" w:hAnsi="Times New Roman"/>
          <w:lang w:val="uk-UA"/>
        </w:rPr>
      </w:pPr>
      <w:r>
        <w:rPr>
          <w:rFonts w:ascii="Times New Roman" w:hAnsi="Times New Roman" w:cs="Times New Roman"/>
          <w:lang w:val="uk-UA"/>
        </w:rPr>
        <w:t>Клієнт повинен уникати випадків одночасного підключення до комп’ютера, з якого здійснюється робота в Системі, декількох Носіїв, якщо у Клієнта передбачено дві (або більше) груп підпису Електронних документів.</w:t>
      </w:r>
    </w:p>
    <w:p w:rsidR="005B5ED6" w:rsidRDefault="005B2E08">
      <w:pPr>
        <w:widowControl/>
        <w:numPr>
          <w:ilvl w:val="0"/>
          <w:numId w:val="3"/>
        </w:numPr>
        <w:autoSpaceDE w:val="0"/>
        <w:autoSpaceDN w:val="0"/>
        <w:adjustRightInd w:val="0"/>
        <w:ind w:hanging="357"/>
        <w:rPr>
          <w:rFonts w:ascii="Times New Roman" w:hAnsi="Times New Roman"/>
          <w:lang w:val="uk-UA"/>
        </w:rPr>
      </w:pPr>
      <w:r>
        <w:rPr>
          <w:rFonts w:ascii="Times New Roman" w:hAnsi="Times New Roman" w:cs="Times New Roman"/>
          <w:lang w:val="uk-UA"/>
        </w:rPr>
        <w:t>Клієнт повинен уникати механічних пошкоджень Носія, потрапляння вологи, сильного нагріву, дії сильних електромагнітних полів. Не прикладати надмірних зусиль при підключенні та відключенні Носія від комп’ютера.</w:t>
      </w:r>
    </w:p>
    <w:p w:rsidR="005B5ED6" w:rsidRDefault="005B2E08">
      <w:pPr>
        <w:widowControl/>
        <w:numPr>
          <w:ilvl w:val="0"/>
          <w:numId w:val="3"/>
        </w:numPr>
        <w:rPr>
          <w:rFonts w:ascii="Times New Roman" w:hAnsi="Times New Roman" w:cs="Times New Roman"/>
          <w:lang w:val="uk-UA"/>
        </w:rPr>
      </w:pPr>
      <w:r>
        <w:rPr>
          <w:rFonts w:ascii="Times New Roman" w:hAnsi="Times New Roman" w:cs="Times New Roman"/>
          <w:lang w:val="uk-UA"/>
        </w:rPr>
        <w:t xml:space="preserve">У разі втрати, викрадення Носія, або виникнення підозр, що в Системі від імені Клієнта було здійснено несанкціоновані операції, Клієнт повинен негайно </w:t>
      </w:r>
      <w:r>
        <w:rPr>
          <w:rFonts w:ascii="Times New Roman" w:hAnsi="Times New Roman"/>
          <w:lang w:val="uk-UA"/>
        </w:rPr>
        <w:t>припинити роботу в Системі</w:t>
      </w:r>
      <w:r>
        <w:rPr>
          <w:rFonts w:ascii="Times New Roman" w:hAnsi="Times New Roman" w:cs="Times New Roman"/>
          <w:lang w:val="uk-UA"/>
        </w:rPr>
        <w:t xml:space="preserve"> та повідомити про це Банк </w:t>
      </w:r>
      <w:r>
        <w:rPr>
          <w:rFonts w:ascii="Times New Roman" w:hAnsi="Times New Roman"/>
          <w:lang w:val="uk-UA"/>
        </w:rPr>
        <w:t>будь-якими доступними засобами, у тому числі, але не виключно, засобами Системи та/або телефонним зв’язком, з подальшим наданням оригіналу такого повідомлення (листа), скріпленого підписом Уповноваженої особи Клієнта і відбитком печатки (у разі її наявності)</w:t>
      </w:r>
      <w:r>
        <w:rPr>
          <w:rFonts w:ascii="Times New Roman" w:hAnsi="Times New Roman" w:cs="Times New Roman"/>
          <w:lang w:val="uk-UA"/>
        </w:rPr>
        <w:t>.</w:t>
      </w:r>
    </w:p>
    <w:p w:rsidR="005B5ED6" w:rsidRDefault="005B2E08">
      <w:pPr>
        <w:widowControl/>
        <w:numPr>
          <w:ilvl w:val="0"/>
          <w:numId w:val="3"/>
        </w:numPr>
        <w:tabs>
          <w:tab w:val="left" w:pos="708"/>
          <w:tab w:val="left" w:pos="1263"/>
        </w:tabs>
        <w:rPr>
          <w:rFonts w:ascii="Times New Roman" w:hAnsi="Times New Roman" w:cs="Times New Roman"/>
          <w:lang w:val="uk-UA"/>
        </w:rPr>
      </w:pPr>
      <w:r>
        <w:rPr>
          <w:rFonts w:ascii="Times New Roman" w:hAnsi="Times New Roman" w:cs="Times New Roman"/>
          <w:lang w:val="uk-UA"/>
        </w:rPr>
        <w:t xml:space="preserve">На підставі повідомлення Банк заблокує </w:t>
      </w:r>
      <w:r>
        <w:rPr>
          <w:rFonts w:ascii="Times New Roman" w:hAnsi="Times New Roman"/>
          <w:lang w:val="uk-UA"/>
        </w:rPr>
        <w:t>доступ Користувача до Рахунків</w:t>
      </w:r>
      <w:r>
        <w:rPr>
          <w:rFonts w:ascii="Times New Roman" w:hAnsi="Times New Roman" w:cs="Times New Roman"/>
          <w:lang w:val="uk-UA"/>
        </w:rPr>
        <w:t xml:space="preserve"> та скомпрометований ключ Кваліфікованого ЕП Клієнта для запобігання подальших шахрайських операцій. Клієнту необхідно звірити з Банком останні платежі, отримані Банком від Клієнта засобами Системи, і впевнитися у тому, що виконуються усі вимоги даної інструкції; змінити коди Носія (PIN-код і код розблокування), на якому зберігалися скомпрометовані ключі Кваліфікованого ЕП; провести позапланову генерацію скомпрометованого ключа Кваліфікованого ЕП; змінити ім’я Користувача (Логін).</w:t>
      </w:r>
    </w:p>
    <w:p w:rsidR="005B5ED6" w:rsidRDefault="005B2E08">
      <w:pPr>
        <w:widowControl/>
        <w:numPr>
          <w:ilvl w:val="0"/>
          <w:numId w:val="3"/>
        </w:numPr>
        <w:ind w:hanging="357"/>
        <w:rPr>
          <w:rFonts w:ascii="Times New Roman" w:hAnsi="Times New Roman" w:cs="Times New Roman"/>
          <w:lang w:val="uk-UA"/>
        </w:rPr>
      </w:pPr>
      <w:r>
        <w:rPr>
          <w:rFonts w:ascii="Times New Roman" w:hAnsi="Times New Roman" w:cs="Times New Roman"/>
          <w:lang w:val="uk-UA"/>
        </w:rPr>
        <w:t>Термін дії ключів Кваліфікованого ЕП встановлюється Банком/кваліфікованим надавачем електронних довірчих послуг, але Клієнт має право самостійно виконувати позапланову зміну ключів Кваліфікованого ЕП у порядку, визначеному Договором.</w:t>
      </w:r>
    </w:p>
    <w:p w:rsidR="005B5ED6" w:rsidRDefault="005B2E08">
      <w:pPr>
        <w:widowControl/>
        <w:numPr>
          <w:ilvl w:val="0"/>
          <w:numId w:val="3"/>
        </w:numPr>
        <w:autoSpaceDE w:val="0"/>
        <w:autoSpaceDN w:val="0"/>
        <w:adjustRightInd w:val="0"/>
        <w:ind w:hanging="357"/>
        <w:rPr>
          <w:rFonts w:ascii="Times New Roman" w:hAnsi="Times New Roman" w:cs="Times New Roman"/>
          <w:lang w:val="uk-UA"/>
        </w:rPr>
      </w:pPr>
      <w:r>
        <w:rPr>
          <w:rFonts w:ascii="Times New Roman" w:hAnsi="Times New Roman" w:cs="Times New Roman"/>
          <w:lang w:val="uk-UA"/>
        </w:rPr>
        <w:t>Наполегливо рекомендується встановлювати надійні паролі на облікові записи користувачів комп’ютера, коди Носія ключів Кваліфікованого ЕП і не використовувати їх для інших цілей — електронної пошти, соцмереж, кодів авторизацій, тощо.</w:t>
      </w:r>
    </w:p>
    <w:p w:rsidR="005B5ED6" w:rsidRDefault="005B2E08">
      <w:pPr>
        <w:widowControl/>
        <w:numPr>
          <w:ilvl w:val="0"/>
          <w:numId w:val="3"/>
        </w:numPr>
        <w:ind w:hanging="357"/>
        <w:rPr>
          <w:rFonts w:ascii="Times New Roman" w:hAnsi="Times New Roman" w:cs="Times New Roman"/>
          <w:lang w:val="uk-UA"/>
        </w:rPr>
      </w:pPr>
      <w:r>
        <w:rPr>
          <w:rFonts w:ascii="Times New Roman" w:hAnsi="Times New Roman" w:cs="Times New Roman"/>
          <w:lang w:val="uk-UA"/>
        </w:rPr>
        <w:t>Паролі та коди Носія повинні:</w:t>
      </w:r>
    </w:p>
    <w:p w:rsidR="005B5ED6" w:rsidRDefault="005B2E08">
      <w:pPr>
        <w:widowControl/>
        <w:numPr>
          <w:ilvl w:val="1"/>
          <w:numId w:val="3"/>
        </w:numPr>
        <w:ind w:hanging="357"/>
        <w:rPr>
          <w:rFonts w:ascii="Times New Roman" w:hAnsi="Times New Roman" w:cs="Times New Roman"/>
          <w:lang w:val="uk-UA"/>
        </w:rPr>
      </w:pPr>
      <w:r>
        <w:rPr>
          <w:rFonts w:ascii="Times New Roman" w:hAnsi="Times New Roman" w:cs="Times New Roman"/>
          <w:lang w:val="uk-UA"/>
        </w:rPr>
        <w:lastRenderedPageBreak/>
        <w:t>не містити особистих даних, які легко отримати третім особам (ім’я, особисті дати, адреси, тощо);</w:t>
      </w:r>
    </w:p>
    <w:p w:rsidR="005B5ED6" w:rsidRDefault="005B2E08">
      <w:pPr>
        <w:widowControl/>
        <w:numPr>
          <w:ilvl w:val="1"/>
          <w:numId w:val="3"/>
        </w:numPr>
        <w:ind w:hanging="357"/>
        <w:rPr>
          <w:rFonts w:ascii="Times New Roman" w:hAnsi="Times New Roman" w:cs="Times New Roman"/>
          <w:lang w:val="uk-UA"/>
        </w:rPr>
      </w:pPr>
      <w:r>
        <w:rPr>
          <w:rFonts w:ascii="Times New Roman" w:hAnsi="Times New Roman" w:cs="Times New Roman"/>
          <w:lang w:val="uk-UA"/>
        </w:rPr>
        <w:t>не містити символи, що знаходяться підряд на клавіатурі, наприклад qwerty, 12345;</w:t>
      </w:r>
    </w:p>
    <w:p w:rsidR="005B5ED6" w:rsidRDefault="005B2E08">
      <w:pPr>
        <w:widowControl/>
        <w:numPr>
          <w:ilvl w:val="1"/>
          <w:numId w:val="3"/>
        </w:numPr>
        <w:ind w:hanging="357"/>
        <w:rPr>
          <w:rFonts w:ascii="Times New Roman" w:hAnsi="Times New Roman" w:cs="Times New Roman"/>
          <w:lang w:val="uk-UA"/>
        </w:rPr>
      </w:pPr>
      <w:r>
        <w:rPr>
          <w:rFonts w:ascii="Times New Roman" w:hAnsi="Times New Roman" w:cs="Times New Roman"/>
          <w:lang w:val="uk-UA"/>
        </w:rPr>
        <w:t>складатися з 8 – 9 символів та містити букви великі і малі, цифри та спецсимволи, наприклад @GasDeng1.</w:t>
      </w:r>
    </w:p>
    <w:p w:rsidR="005B5ED6" w:rsidRDefault="005B2E08">
      <w:pPr>
        <w:widowControl/>
        <w:numPr>
          <w:ilvl w:val="0"/>
          <w:numId w:val="3"/>
        </w:numPr>
        <w:ind w:hanging="357"/>
        <w:rPr>
          <w:rFonts w:ascii="Times New Roman" w:hAnsi="Times New Roman" w:cs="Times New Roman"/>
          <w:lang w:val="uk-UA"/>
        </w:rPr>
      </w:pPr>
      <w:r>
        <w:rPr>
          <w:rFonts w:ascii="Times New Roman" w:hAnsi="Times New Roman" w:cs="Times New Roman"/>
          <w:lang w:val="uk-UA"/>
        </w:rPr>
        <w:t>Рекомендується регулярно змінювати паролі та не використовувати паролі, що застосовувалися раніше.</w:t>
      </w:r>
    </w:p>
    <w:p w:rsidR="005B5ED6" w:rsidRDefault="005B2E08">
      <w:pPr>
        <w:widowControl/>
        <w:numPr>
          <w:ilvl w:val="0"/>
          <w:numId w:val="3"/>
        </w:numPr>
        <w:autoSpaceDE w:val="0"/>
        <w:autoSpaceDN w:val="0"/>
        <w:adjustRightInd w:val="0"/>
        <w:ind w:hanging="357"/>
        <w:rPr>
          <w:rFonts w:ascii="Times New Roman" w:hAnsi="Times New Roman" w:cs="Times New Roman"/>
          <w:lang w:val="uk-UA"/>
        </w:rPr>
      </w:pPr>
      <w:r>
        <w:rPr>
          <w:rFonts w:ascii="Times New Roman" w:hAnsi="Times New Roman" w:cs="Times New Roman"/>
          <w:lang w:val="uk-UA"/>
        </w:rPr>
        <w:t>Клієнт повинен відключити у Інтернет-браузері функцію запам</w:t>
      </w:r>
      <w:r>
        <w:rPr>
          <w:rFonts w:ascii="Times New Roman" w:hAnsi="Times New Roman" w:cs="Times New Roman"/>
        </w:rPr>
        <w:t>’</w:t>
      </w:r>
      <w:r>
        <w:rPr>
          <w:rFonts w:ascii="Times New Roman" w:hAnsi="Times New Roman" w:cs="Times New Roman"/>
          <w:lang w:val="uk-UA"/>
        </w:rPr>
        <w:t>ятовування або автозаповнення пароля.</w:t>
      </w:r>
    </w:p>
    <w:p w:rsidR="005B5ED6" w:rsidRDefault="005B2E08">
      <w:pPr>
        <w:widowControl/>
        <w:numPr>
          <w:ilvl w:val="0"/>
          <w:numId w:val="3"/>
        </w:numPr>
        <w:autoSpaceDE w:val="0"/>
        <w:autoSpaceDN w:val="0"/>
        <w:adjustRightInd w:val="0"/>
        <w:ind w:hanging="357"/>
        <w:rPr>
          <w:rFonts w:ascii="Times New Roman" w:hAnsi="Times New Roman" w:cs="Times New Roman"/>
          <w:lang w:val="uk-UA"/>
        </w:rPr>
      </w:pPr>
      <w:r>
        <w:rPr>
          <w:rFonts w:ascii="Times New Roman" w:hAnsi="Times New Roman" w:cs="Times New Roman"/>
          <w:lang w:val="uk-UA"/>
        </w:rPr>
        <w:t>Наполегливо рекомендується працювати з Системою з окремого комп’ютера, виділеного виключно для цих цілей.</w:t>
      </w:r>
    </w:p>
    <w:p w:rsidR="005B5ED6" w:rsidRDefault="005B2E08">
      <w:pPr>
        <w:widowControl/>
        <w:numPr>
          <w:ilvl w:val="0"/>
          <w:numId w:val="3"/>
        </w:numPr>
        <w:autoSpaceDE w:val="0"/>
        <w:autoSpaceDN w:val="0"/>
        <w:adjustRightInd w:val="0"/>
        <w:ind w:hanging="357"/>
        <w:rPr>
          <w:rFonts w:ascii="Times New Roman" w:hAnsi="Times New Roman" w:cs="Times New Roman"/>
          <w:lang w:val="uk-UA"/>
        </w:rPr>
      </w:pPr>
      <w:r>
        <w:rPr>
          <w:rFonts w:ascii="Times New Roman" w:hAnsi="Times New Roman" w:cs="Times New Roman"/>
          <w:lang w:val="uk-UA"/>
        </w:rPr>
        <w:t xml:space="preserve">Клієнт повинен уникати відвідування інтернет-сторінок (окрім інтернет-сторінок Банку і Системи), соціальних мереж, завантаження файлів, з того комп’ютера, з якого здійснюється робота в Системі, а також не використовувати при роботі з Системою незахищені </w:t>
      </w:r>
      <w:r>
        <w:rPr>
          <w:rFonts w:ascii="Times New Roman" w:hAnsi="Times New Roman" w:cs="Times New Roman"/>
          <w:lang w:val="en-US"/>
        </w:rPr>
        <w:t>Wi</w:t>
      </w:r>
      <w:r>
        <w:rPr>
          <w:rFonts w:ascii="Times New Roman" w:hAnsi="Times New Roman" w:cs="Times New Roman"/>
          <w:lang w:val="uk-UA"/>
        </w:rPr>
        <w:t>-</w:t>
      </w:r>
      <w:r>
        <w:rPr>
          <w:rFonts w:ascii="Times New Roman" w:hAnsi="Times New Roman" w:cs="Times New Roman"/>
          <w:lang w:val="en-US"/>
        </w:rPr>
        <w:t>Fi</w:t>
      </w:r>
      <w:r>
        <w:rPr>
          <w:rFonts w:ascii="Times New Roman" w:hAnsi="Times New Roman" w:cs="Times New Roman"/>
          <w:lang w:val="uk-UA"/>
        </w:rPr>
        <w:t xml:space="preserve"> з‘єднання (в кафе, готелях, офісах, інших громадських місцях).</w:t>
      </w:r>
    </w:p>
    <w:p w:rsidR="005B5ED6" w:rsidRDefault="005B2E08">
      <w:pPr>
        <w:widowControl/>
        <w:numPr>
          <w:ilvl w:val="0"/>
          <w:numId w:val="3"/>
        </w:numPr>
        <w:ind w:hanging="357"/>
        <w:rPr>
          <w:rFonts w:ascii="Times New Roman" w:hAnsi="Times New Roman" w:cs="Times New Roman"/>
          <w:lang w:val="uk-UA"/>
        </w:rPr>
      </w:pPr>
      <w:r>
        <w:rPr>
          <w:rFonts w:ascii="Times New Roman" w:hAnsi="Times New Roman" w:cs="Times New Roman"/>
          <w:lang w:val="uk-UA"/>
        </w:rPr>
        <w:t>Клієнт повинен використовувати ліцензійне програмне забезпечення з підтримкою і регулярно оновлювати його до актуальних версій, у тому числі антивірусних програмних засобів, на тих комп’ютерах, з яких здійснюється робота в Системі.</w:t>
      </w:r>
      <w:r>
        <w:rPr>
          <w:rFonts w:ascii="Times New Roman" w:hAnsi="Times New Roman"/>
          <w:lang w:val="uk-UA"/>
        </w:rPr>
        <w:t xml:space="preserve"> Регулярне оновлення сигнатурних баз антивірусних засобів і сканування комп</w:t>
      </w:r>
      <w:r>
        <w:rPr>
          <w:rFonts w:ascii="Times New Roman" w:hAnsi="Times New Roman"/>
        </w:rPr>
        <w:t>’</w:t>
      </w:r>
      <w:r>
        <w:rPr>
          <w:rFonts w:ascii="Times New Roman" w:hAnsi="Times New Roman"/>
          <w:lang w:val="uk-UA"/>
        </w:rPr>
        <w:t>ютерів є обов</w:t>
      </w:r>
      <w:r>
        <w:rPr>
          <w:rFonts w:ascii="Times New Roman" w:hAnsi="Times New Roman"/>
        </w:rPr>
        <w:t>’</w:t>
      </w:r>
      <w:r>
        <w:rPr>
          <w:rFonts w:ascii="Times New Roman" w:hAnsi="Times New Roman"/>
          <w:lang w:val="uk-UA"/>
        </w:rPr>
        <w:t>язковим!</w:t>
      </w:r>
    </w:p>
    <w:p w:rsidR="005B5ED6" w:rsidRDefault="005B2E08">
      <w:pPr>
        <w:widowControl/>
        <w:numPr>
          <w:ilvl w:val="0"/>
          <w:numId w:val="3"/>
        </w:numPr>
        <w:autoSpaceDE w:val="0"/>
        <w:autoSpaceDN w:val="0"/>
        <w:adjustRightInd w:val="0"/>
        <w:ind w:hanging="357"/>
        <w:rPr>
          <w:rFonts w:ascii="Times New Roman" w:hAnsi="Times New Roman" w:cs="Times New Roman"/>
          <w:lang w:val="uk-UA"/>
        </w:rPr>
      </w:pPr>
      <w:r>
        <w:rPr>
          <w:rFonts w:ascii="Times New Roman" w:hAnsi="Times New Roman" w:cs="Times New Roman"/>
          <w:lang w:val="uk-UA"/>
        </w:rPr>
        <w:t>Клієнт повинен уникати виконання будь-яких програм, що маскуються під банківські та пропонують надати інформацію щодо ключа Кваліфікованого ЕП та паролю доступу до нього. Не натискати на посилання у підозрілих поштових повідомленнях, а також не надавати персональну інформацію на будь – яких сайтах, у надійності яких немає впевненості.</w:t>
      </w:r>
    </w:p>
    <w:p w:rsidR="005B5ED6" w:rsidRDefault="005B2E08">
      <w:pPr>
        <w:widowControl/>
        <w:numPr>
          <w:ilvl w:val="0"/>
          <w:numId w:val="3"/>
        </w:numPr>
        <w:autoSpaceDE w:val="0"/>
        <w:autoSpaceDN w:val="0"/>
        <w:adjustRightInd w:val="0"/>
        <w:ind w:hanging="357"/>
        <w:rPr>
          <w:rFonts w:ascii="Times New Roman" w:hAnsi="Times New Roman" w:cs="Times New Roman"/>
          <w:lang w:val="uk-UA"/>
        </w:rPr>
      </w:pPr>
      <w:r>
        <w:rPr>
          <w:rFonts w:ascii="Times New Roman" w:hAnsi="Times New Roman" w:cs="Times New Roman"/>
          <w:lang w:val="uk-UA"/>
        </w:rPr>
        <w:t>Клієнт повинен здійснювати доступ до Системи виключно з інтернет-сторінки Банку, попередньо перевіривши надійність з</w:t>
      </w:r>
      <w:r>
        <w:rPr>
          <w:rFonts w:ascii="Times New Roman" w:hAnsi="Times New Roman" w:cs="Times New Roman"/>
        </w:rPr>
        <w:t>’</w:t>
      </w:r>
      <w:r>
        <w:rPr>
          <w:rFonts w:ascii="Times New Roman" w:hAnsi="Times New Roman" w:cs="Times New Roman"/>
          <w:lang w:val="uk-UA"/>
        </w:rPr>
        <w:t xml:space="preserve">єднання (значок «колодка» </w:t>
      </w:r>
      <w:r>
        <w:rPr>
          <w:rFonts w:ascii="Times New Roman" w:hAnsi="Times New Roman" w:cs="Times New Roman"/>
          <w:noProof/>
          <w:lang w:val="uk-UA" w:eastAsia="uk-UA"/>
        </w:rPr>
        <w:drawing>
          <wp:inline distT="0" distB="0" distL="114300" distR="114300">
            <wp:extent cx="95250" cy="140970"/>
            <wp:effectExtent l="0" t="0" r="11430" b="1143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8"/>
                    <a:stretch>
                      <a:fillRect/>
                    </a:stretch>
                  </pic:blipFill>
                  <pic:spPr>
                    <a:xfrm flipH="1">
                      <a:off x="0" y="0"/>
                      <a:ext cx="95250" cy="140970"/>
                    </a:xfrm>
                    <a:prstGeom prst="rect">
                      <a:avLst/>
                    </a:prstGeom>
                    <a:noFill/>
                    <a:ln>
                      <a:noFill/>
                    </a:ln>
                  </pic:spPr>
                </pic:pic>
              </a:graphicData>
            </a:graphic>
          </wp:inline>
        </w:drawing>
      </w:r>
      <w:r>
        <w:rPr>
          <w:rFonts w:ascii="Times New Roman" w:hAnsi="Times New Roman" w:cs="Times New Roman"/>
          <w:lang w:val="uk-UA"/>
        </w:rPr>
        <w:t xml:space="preserve"> біля адреси сторінки, що свідчить про використання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uk-UA"/>
        </w:rPr>
        <w:t>сертифікату).</w:t>
      </w:r>
    </w:p>
    <w:p w:rsidR="005B5ED6" w:rsidRDefault="005B2E08">
      <w:pPr>
        <w:widowControl/>
        <w:numPr>
          <w:ilvl w:val="0"/>
          <w:numId w:val="3"/>
        </w:numPr>
        <w:autoSpaceDE w:val="0"/>
        <w:autoSpaceDN w:val="0"/>
        <w:adjustRightInd w:val="0"/>
        <w:ind w:hanging="357"/>
        <w:rPr>
          <w:rFonts w:ascii="Times New Roman" w:hAnsi="Times New Roman" w:cs="Times New Roman"/>
          <w:lang w:val="uk-UA"/>
        </w:rPr>
      </w:pPr>
      <w:r>
        <w:rPr>
          <w:rFonts w:ascii="Times New Roman" w:hAnsi="Times New Roman" w:cs="Times New Roman"/>
          <w:lang w:val="uk-UA"/>
        </w:rPr>
        <w:t>Клієнт повинен уникати обслуговування ненадійними ІТ- спеціалістами комп’ютерів, з яких Клієнт працює в Системі.</w:t>
      </w:r>
    </w:p>
    <w:p w:rsidR="005B5ED6" w:rsidRDefault="005B2E08">
      <w:pPr>
        <w:widowControl/>
        <w:numPr>
          <w:ilvl w:val="0"/>
          <w:numId w:val="3"/>
        </w:numPr>
        <w:autoSpaceDE w:val="0"/>
        <w:autoSpaceDN w:val="0"/>
        <w:adjustRightInd w:val="0"/>
        <w:ind w:hanging="357"/>
        <w:rPr>
          <w:rFonts w:ascii="Times New Roman" w:hAnsi="Times New Roman"/>
          <w:lang w:val="uk-UA"/>
        </w:rPr>
      </w:pPr>
      <w:r>
        <w:rPr>
          <w:rFonts w:ascii="Times New Roman" w:hAnsi="Times New Roman" w:cs="Times New Roman"/>
          <w:lang w:val="uk-UA"/>
        </w:rPr>
        <w:t>Рекомендується застосування Клієнтом таких додаткових заходів безпеки як:</w:t>
      </w:r>
    </w:p>
    <w:p w:rsidR="005B5ED6" w:rsidRDefault="005B2E08">
      <w:pPr>
        <w:pStyle w:val="afa"/>
        <w:numPr>
          <w:ilvl w:val="0"/>
          <w:numId w:val="4"/>
        </w:numPr>
        <w:tabs>
          <w:tab w:val="clear" w:pos="720"/>
          <w:tab w:val="left" w:pos="1276"/>
        </w:tabs>
        <w:spacing w:after="0" w:line="240" w:lineRule="auto"/>
        <w:ind w:hanging="11"/>
        <w:jc w:val="both"/>
        <w:rPr>
          <w:rFonts w:ascii="Times New Roman" w:hAnsi="Times New Roman"/>
          <w:sz w:val="20"/>
          <w:szCs w:val="20"/>
          <w:lang w:val="uk-UA"/>
        </w:rPr>
      </w:pPr>
      <w:r>
        <w:rPr>
          <w:rFonts w:ascii="Times New Roman" w:hAnsi="Times New Roman"/>
          <w:sz w:val="20"/>
          <w:szCs w:val="20"/>
          <w:lang w:val="uk-UA"/>
        </w:rPr>
        <w:t>застосування ІР-фільтрації на комп</w:t>
      </w:r>
      <w:r>
        <w:rPr>
          <w:rFonts w:ascii="Times New Roman" w:hAnsi="Times New Roman"/>
          <w:sz w:val="20"/>
          <w:szCs w:val="20"/>
        </w:rPr>
        <w:t>’</w:t>
      </w:r>
      <w:r>
        <w:rPr>
          <w:rFonts w:ascii="Times New Roman" w:hAnsi="Times New Roman"/>
          <w:sz w:val="20"/>
          <w:szCs w:val="20"/>
          <w:lang w:val="uk-UA"/>
        </w:rPr>
        <w:t>ютері, з якого здійснюється робота з Системою;</w:t>
      </w:r>
    </w:p>
    <w:p w:rsidR="005B5ED6" w:rsidRDefault="005B2E08">
      <w:pPr>
        <w:pStyle w:val="afa"/>
        <w:numPr>
          <w:ilvl w:val="0"/>
          <w:numId w:val="4"/>
        </w:numPr>
        <w:tabs>
          <w:tab w:val="clear" w:pos="720"/>
          <w:tab w:val="left" w:pos="1276"/>
        </w:tabs>
        <w:spacing w:after="0" w:line="240" w:lineRule="auto"/>
        <w:ind w:hanging="11"/>
        <w:jc w:val="both"/>
        <w:rPr>
          <w:rFonts w:ascii="Times New Roman" w:hAnsi="Times New Roman"/>
          <w:sz w:val="20"/>
          <w:szCs w:val="20"/>
          <w:lang w:val="uk-UA"/>
        </w:rPr>
      </w:pPr>
      <w:r>
        <w:rPr>
          <w:rFonts w:ascii="Times New Roman" w:hAnsi="Times New Roman"/>
          <w:sz w:val="20"/>
          <w:szCs w:val="20"/>
          <w:lang w:val="uk-UA"/>
        </w:rPr>
        <w:t>використання додаткової автентифікації (підтвердження електронних документів одноразовим паролем</w:t>
      </w:r>
      <w:r>
        <w:rPr>
          <w:rFonts w:ascii="Times New Roman" w:hAnsi="Times New Roman"/>
          <w:sz w:val="20"/>
          <w:szCs w:val="20"/>
        </w:rPr>
        <w:t>;</w:t>
      </w:r>
    </w:p>
    <w:p w:rsidR="005B5ED6" w:rsidRDefault="005B2E08">
      <w:pPr>
        <w:pStyle w:val="afa"/>
        <w:numPr>
          <w:ilvl w:val="0"/>
          <w:numId w:val="4"/>
        </w:numPr>
        <w:tabs>
          <w:tab w:val="clear" w:pos="720"/>
          <w:tab w:val="left" w:pos="1276"/>
        </w:tabs>
        <w:spacing w:after="0" w:line="240" w:lineRule="auto"/>
        <w:ind w:hanging="11"/>
        <w:jc w:val="both"/>
        <w:rPr>
          <w:rFonts w:ascii="Times New Roman" w:hAnsi="Times New Roman"/>
          <w:lang w:val="uk-UA"/>
        </w:rPr>
      </w:pPr>
      <w:r>
        <w:rPr>
          <w:rFonts w:ascii="Times New Roman" w:hAnsi="Times New Roman"/>
          <w:sz w:val="20"/>
          <w:szCs w:val="20"/>
          <w:lang w:val="uk-UA"/>
        </w:rPr>
        <w:t>послуга інформування про руш коштів по рахунках.</w:t>
      </w:r>
    </w:p>
    <w:p w:rsidR="005B5ED6" w:rsidRDefault="005B5ED6">
      <w:pPr>
        <w:pStyle w:val="afa"/>
        <w:spacing w:after="0" w:line="240" w:lineRule="auto"/>
        <w:jc w:val="both"/>
        <w:rPr>
          <w:rFonts w:ascii="Times New Roman" w:hAnsi="Times New Roman"/>
          <w:sz w:val="20"/>
          <w:szCs w:val="20"/>
          <w:lang w:val="uk-UA"/>
        </w:rPr>
      </w:pPr>
    </w:p>
    <w:p w:rsidR="005B5ED6" w:rsidRDefault="005B5ED6">
      <w:pPr>
        <w:pStyle w:val="afa"/>
        <w:spacing w:after="0" w:line="240" w:lineRule="auto"/>
        <w:jc w:val="both"/>
        <w:rPr>
          <w:rFonts w:ascii="Times New Roman" w:hAnsi="Times New Roman"/>
          <w:sz w:val="20"/>
          <w:szCs w:val="20"/>
          <w:lang w:val="uk-UA"/>
        </w:rPr>
      </w:pPr>
    </w:p>
    <w:p w:rsidR="005B5ED6" w:rsidRDefault="005B5ED6">
      <w:pPr>
        <w:pStyle w:val="afa"/>
        <w:spacing w:after="0" w:line="240" w:lineRule="auto"/>
        <w:jc w:val="both"/>
        <w:rPr>
          <w:rFonts w:ascii="Times New Roman" w:hAnsi="Times New Roman"/>
        </w:rPr>
      </w:pPr>
    </w:p>
    <w:sectPr w:rsidR="005B5ED6">
      <w:headerReference w:type="default" r:id="rId9"/>
      <w:footerReference w:type="default" r:id="rId10"/>
      <w:pgSz w:w="11909" w:h="16834"/>
      <w:pgMar w:top="616" w:right="569" w:bottom="719" w:left="851" w:header="254" w:footer="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6C" w:rsidRDefault="00463F6C">
      <w:r>
        <w:separator/>
      </w:r>
    </w:p>
  </w:endnote>
  <w:endnote w:type="continuationSeparator" w:id="0">
    <w:p w:rsidR="00463F6C" w:rsidRDefault="0046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charset w:val="00"/>
    <w:family w:val="auto"/>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UkrainianJournal">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D6" w:rsidRDefault="005B2E08">
    <w:pPr>
      <w:pStyle w:val="af3"/>
      <w:jc w:val="center"/>
      <w:rPr>
        <w:lang w:val="uk-UA"/>
      </w:rPr>
    </w:pPr>
    <w:r>
      <w:rPr>
        <w:lang w:val="uk-UA"/>
      </w:rPr>
      <w:t>аркуш</w:t>
    </w:r>
    <w:r>
      <w:t xml:space="preserve"> </w:t>
    </w:r>
    <w:r>
      <w:rPr>
        <w:b/>
        <w:bCs/>
        <w:sz w:val="24"/>
        <w:szCs w:val="24"/>
      </w:rPr>
      <w:fldChar w:fldCharType="begin"/>
    </w:r>
    <w:r>
      <w:rPr>
        <w:b/>
        <w:bCs/>
      </w:rPr>
      <w:instrText>PAGE</w:instrText>
    </w:r>
    <w:r>
      <w:rPr>
        <w:b/>
        <w:bCs/>
        <w:sz w:val="24"/>
        <w:szCs w:val="24"/>
      </w:rPr>
      <w:fldChar w:fldCharType="separate"/>
    </w:r>
    <w:r w:rsidR="00924878">
      <w:rPr>
        <w:b/>
        <w:bCs/>
        <w:noProof/>
      </w:rPr>
      <w:t>1</w:t>
    </w:r>
    <w:r>
      <w:rPr>
        <w:b/>
        <w:bCs/>
        <w:sz w:val="24"/>
        <w:szCs w:val="24"/>
      </w:rPr>
      <w:fldChar w:fldCharType="end"/>
    </w:r>
    <w:r>
      <w:t xml:space="preserve"> з </w:t>
    </w:r>
    <w:r>
      <w:rPr>
        <w:b/>
        <w:bCs/>
        <w:sz w:val="24"/>
        <w:szCs w:val="24"/>
      </w:rPr>
      <w:fldChar w:fldCharType="begin"/>
    </w:r>
    <w:r>
      <w:rPr>
        <w:b/>
        <w:bCs/>
      </w:rPr>
      <w:instrText>NUMPAGES</w:instrText>
    </w:r>
    <w:r>
      <w:rPr>
        <w:b/>
        <w:bCs/>
        <w:sz w:val="24"/>
        <w:szCs w:val="24"/>
      </w:rPr>
      <w:fldChar w:fldCharType="separate"/>
    </w:r>
    <w:r w:rsidR="00924878">
      <w:rPr>
        <w:b/>
        <w:bCs/>
        <w:noProof/>
      </w:rPr>
      <w:t>2</w:t>
    </w:r>
    <w:r>
      <w:rPr>
        <w:b/>
        <w:bCs/>
        <w:sz w:val="24"/>
        <w:szCs w:val="24"/>
      </w:rPr>
      <w:fldChar w:fldCharType="end"/>
    </w:r>
  </w:p>
  <w:p w:rsidR="005B5ED6" w:rsidRDefault="005B5ED6">
    <w:pPr>
      <w:pStyle w:val="af3"/>
      <w:jc w:val="center"/>
      <w:rPr>
        <w:lang w:val="uk-UA"/>
      </w:rPr>
    </w:pPr>
  </w:p>
  <w:p w:rsidR="005B5ED6" w:rsidRDefault="005B5ED6">
    <w:pPr>
      <w:widowControl/>
      <w:jc w:val="left"/>
      <w:rPr>
        <w:rFonts w:ascii="Times New Roman" w:hAnsi="Times New Roman" w:cs="Times New Roman"/>
        <w:sz w:val="21"/>
        <w:szCs w:val="21"/>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6C" w:rsidRDefault="00463F6C">
      <w:r>
        <w:separator/>
      </w:r>
    </w:p>
  </w:footnote>
  <w:footnote w:type="continuationSeparator" w:id="0">
    <w:p w:rsidR="00463F6C" w:rsidRDefault="0046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D6" w:rsidRDefault="005B5ED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527F"/>
    <w:multiLevelType w:val="multilevel"/>
    <w:tmpl w:val="093E527F"/>
    <w:lvl w:ilvl="0">
      <w:start w:val="1"/>
      <w:numFmt w:val="decimal"/>
      <w:lvlText w:val="%1."/>
      <w:lvlJc w:val="left"/>
      <w:pPr>
        <w:tabs>
          <w:tab w:val="left" w:pos="502"/>
        </w:tabs>
        <w:ind w:left="502" w:hanging="360"/>
      </w:pPr>
      <w:rPr>
        <w:rFonts w:hint="default"/>
      </w:rPr>
    </w:lvl>
    <w:lvl w:ilvl="1">
      <w:start w:val="1"/>
      <w:numFmt w:val="bullet"/>
      <w:lvlText w:val="-"/>
      <w:lvlJc w:val="left"/>
      <w:pPr>
        <w:tabs>
          <w:tab w:val="left" w:pos="1222"/>
        </w:tabs>
        <w:ind w:left="1222" w:hanging="360"/>
      </w:pPr>
      <w:rPr>
        <w:rFonts w:ascii="Times New Roman" w:eastAsia="Times New Roman" w:hAnsi="Times New Roman" w:cs="Times New Roman" w:hint="default"/>
      </w:rPr>
    </w:lvl>
    <w:lvl w:ilvl="2">
      <w:start w:val="1"/>
      <w:numFmt w:val="lowerRoman"/>
      <w:lvlText w:val="%3."/>
      <w:lvlJc w:val="righ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righ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right"/>
      <w:pPr>
        <w:tabs>
          <w:tab w:val="left" w:pos="6262"/>
        </w:tabs>
        <w:ind w:left="6262" w:hanging="180"/>
      </w:pPr>
    </w:lvl>
  </w:abstractNum>
  <w:abstractNum w:abstractNumId="1" w15:restartNumberingAfterBreak="0">
    <w:nsid w:val="0F2E14EF"/>
    <w:multiLevelType w:val="multilevel"/>
    <w:tmpl w:val="0F2E14EF"/>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D20180"/>
    <w:multiLevelType w:val="multilevel"/>
    <w:tmpl w:val="44D2018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36D237D"/>
    <w:multiLevelType w:val="multilevel"/>
    <w:tmpl w:val="636D237D"/>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31"/>
    <w:rsid w:val="0001441A"/>
    <w:rsid w:val="00022BE6"/>
    <w:rsid w:val="00037C7B"/>
    <w:rsid w:val="00043BD1"/>
    <w:rsid w:val="00053F4C"/>
    <w:rsid w:val="00095540"/>
    <w:rsid w:val="000A1E79"/>
    <w:rsid w:val="000B75F7"/>
    <w:rsid w:val="0010008B"/>
    <w:rsid w:val="001124A9"/>
    <w:rsid w:val="001206E8"/>
    <w:rsid w:val="001C2BC6"/>
    <w:rsid w:val="00205C99"/>
    <w:rsid w:val="0021185B"/>
    <w:rsid w:val="00262787"/>
    <w:rsid w:val="002B03B7"/>
    <w:rsid w:val="002D44D6"/>
    <w:rsid w:val="003707F5"/>
    <w:rsid w:val="003A6184"/>
    <w:rsid w:val="00416D0D"/>
    <w:rsid w:val="00422817"/>
    <w:rsid w:val="0045226C"/>
    <w:rsid w:val="00463F6C"/>
    <w:rsid w:val="00511E72"/>
    <w:rsid w:val="005221B0"/>
    <w:rsid w:val="00577295"/>
    <w:rsid w:val="00591691"/>
    <w:rsid w:val="005B2E08"/>
    <w:rsid w:val="005B5ED6"/>
    <w:rsid w:val="006632B8"/>
    <w:rsid w:val="0067703D"/>
    <w:rsid w:val="006A5533"/>
    <w:rsid w:val="007120C9"/>
    <w:rsid w:val="007627A8"/>
    <w:rsid w:val="00767FEC"/>
    <w:rsid w:val="0082152D"/>
    <w:rsid w:val="00923F2F"/>
    <w:rsid w:val="00924878"/>
    <w:rsid w:val="00976E5E"/>
    <w:rsid w:val="009B1F36"/>
    <w:rsid w:val="009D2E89"/>
    <w:rsid w:val="009F6571"/>
    <w:rsid w:val="00A019E9"/>
    <w:rsid w:val="00A4284B"/>
    <w:rsid w:val="00A43681"/>
    <w:rsid w:val="00AC0B95"/>
    <w:rsid w:val="00AE584D"/>
    <w:rsid w:val="00B718DB"/>
    <w:rsid w:val="00B874CC"/>
    <w:rsid w:val="00BD3F31"/>
    <w:rsid w:val="00C63E3D"/>
    <w:rsid w:val="00CB0D26"/>
    <w:rsid w:val="00CB1F58"/>
    <w:rsid w:val="00CB4EB9"/>
    <w:rsid w:val="00CD07A8"/>
    <w:rsid w:val="00D80ADC"/>
    <w:rsid w:val="00D82302"/>
    <w:rsid w:val="00DB5517"/>
    <w:rsid w:val="00DD2D11"/>
    <w:rsid w:val="00DF497A"/>
    <w:rsid w:val="00E06383"/>
    <w:rsid w:val="00E57C68"/>
    <w:rsid w:val="00E85BE2"/>
    <w:rsid w:val="00EB0336"/>
    <w:rsid w:val="00EE67F0"/>
    <w:rsid w:val="00F53442"/>
    <w:rsid w:val="00F66989"/>
    <w:rsid w:val="00FA43DD"/>
    <w:rsid w:val="00FA5782"/>
    <w:rsid w:val="00FD216D"/>
    <w:rsid w:val="00FF19D0"/>
    <w:rsid w:val="1197089B"/>
    <w:rsid w:val="4F941E62"/>
    <w:rsid w:val="6D20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5:docId w15:val="{09AC6EF3-95D8-44B9-8119-F4CB9983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Journal" w:hAnsi="Journal" w:cs="Journal"/>
      <w:lang w:val="ru-RU" w:eastAsia="ru-RU"/>
    </w:rPr>
  </w:style>
  <w:style w:type="paragraph" w:styleId="10">
    <w:name w:val="heading 1"/>
    <w:basedOn w:val="a0"/>
    <w:next w:val="a0"/>
    <w:qFormat/>
    <w:pPr>
      <w:keepNext/>
      <w:outlineLvl w:val="0"/>
    </w:pPr>
    <w:rPr>
      <w:sz w:val="28"/>
      <w:szCs w:val="28"/>
    </w:rPr>
  </w:style>
  <w:style w:type="paragraph" w:styleId="2">
    <w:name w:val="heading 2"/>
    <w:basedOn w:val="a0"/>
    <w:next w:val="a0"/>
    <w:qFormat/>
    <w:pPr>
      <w:keepNext/>
      <w:widowControl/>
      <w:ind w:left="3960"/>
      <w:jc w:val="left"/>
      <w:outlineLvl w:val="1"/>
    </w:pPr>
    <w:rPr>
      <w:rFonts w:ascii="Times New Roman" w:hAnsi="Times New Roman" w:cs="Times New Roman"/>
      <w:i/>
      <w:iCs/>
      <w:lang w:val="uk-UA"/>
    </w:rPr>
  </w:style>
  <w:style w:type="paragraph" w:styleId="6">
    <w:name w:val="heading 6"/>
    <w:basedOn w:val="a0"/>
    <w:next w:val="a0"/>
    <w:qFormat/>
    <w:pPr>
      <w:spacing w:before="240" w:after="60"/>
      <w:outlineLvl w:val="5"/>
    </w:pPr>
    <w:rPr>
      <w:rFonts w:ascii="Times New Roman" w:hAnsi="Times New Roman" w:cs="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6"/>
      <w:szCs w:val="16"/>
    </w:rPr>
  </w:style>
  <w:style w:type="character" w:styleId="a5">
    <w:name w:val="Hyperlink"/>
    <w:rPr>
      <w:color w:val="0000FF"/>
      <w:u w:val="single"/>
    </w:rPr>
  </w:style>
  <w:style w:type="character" w:styleId="a6">
    <w:name w:val="page number"/>
  </w:style>
  <w:style w:type="paragraph" w:styleId="a7">
    <w:name w:val="Balloon Text"/>
    <w:basedOn w:val="a0"/>
    <w:semiHidden/>
    <w:qFormat/>
    <w:pPr>
      <w:widowControl/>
      <w:jc w:val="left"/>
    </w:pPr>
    <w:rPr>
      <w:rFonts w:ascii="Tahoma" w:hAnsi="Tahoma" w:cs="Tahoma"/>
      <w:sz w:val="16"/>
      <w:szCs w:val="16"/>
    </w:rPr>
  </w:style>
  <w:style w:type="paragraph" w:styleId="20">
    <w:name w:val="Body Text 2"/>
    <w:basedOn w:val="a0"/>
    <w:pPr>
      <w:widowControl/>
    </w:pPr>
    <w:rPr>
      <w:rFonts w:ascii="Times New Roman" w:hAnsi="Times New Roman" w:cs="Times New Roman"/>
      <w:color w:val="3366FF"/>
      <w:sz w:val="18"/>
      <w:szCs w:val="18"/>
    </w:rPr>
  </w:style>
  <w:style w:type="paragraph" w:styleId="a8">
    <w:name w:val="Plain Text"/>
    <w:basedOn w:val="a0"/>
    <w:link w:val="a9"/>
    <w:pPr>
      <w:widowControl/>
      <w:autoSpaceDE w:val="0"/>
      <w:autoSpaceDN w:val="0"/>
      <w:jc w:val="left"/>
    </w:pPr>
    <w:rPr>
      <w:rFonts w:ascii="Courier New" w:hAnsi="Courier New" w:cs="Courier New"/>
    </w:rPr>
  </w:style>
  <w:style w:type="paragraph" w:styleId="3">
    <w:name w:val="Body Text Indent 3"/>
    <w:basedOn w:val="a0"/>
    <w:pPr>
      <w:widowControl/>
      <w:ind w:firstLine="720"/>
    </w:pPr>
    <w:rPr>
      <w:rFonts w:ascii="Times New Roman" w:hAnsi="Times New Roman" w:cs="Times New Roman"/>
      <w:color w:val="3366FF"/>
      <w:sz w:val="18"/>
      <w:szCs w:val="18"/>
    </w:rPr>
  </w:style>
  <w:style w:type="paragraph" w:styleId="aa">
    <w:name w:val="annotation text"/>
    <w:basedOn w:val="a0"/>
    <w:link w:val="ab"/>
    <w:semiHidden/>
    <w:pPr>
      <w:widowControl/>
      <w:jc w:val="left"/>
    </w:pPr>
    <w:rPr>
      <w:rFonts w:ascii="Times New Roman" w:hAnsi="Times New Roman" w:cs="Times New Roman"/>
    </w:rPr>
  </w:style>
  <w:style w:type="paragraph" w:styleId="ac">
    <w:name w:val="annotation subject"/>
    <w:basedOn w:val="aa"/>
    <w:next w:val="aa"/>
    <w:semiHidden/>
    <w:qFormat/>
    <w:rPr>
      <w:b/>
      <w:bCs/>
    </w:rPr>
  </w:style>
  <w:style w:type="paragraph" w:styleId="ad">
    <w:name w:val="header"/>
    <w:basedOn w:val="a0"/>
    <w:link w:val="ae"/>
    <w:uiPriority w:val="99"/>
    <w:pPr>
      <w:widowControl/>
      <w:tabs>
        <w:tab w:val="center" w:pos="4153"/>
        <w:tab w:val="right" w:pos="8306"/>
      </w:tabs>
      <w:jc w:val="left"/>
    </w:pPr>
    <w:rPr>
      <w:rFonts w:ascii="Times New Roman" w:hAnsi="Times New Roman" w:cs="Times New Roman"/>
    </w:rPr>
  </w:style>
  <w:style w:type="paragraph" w:styleId="af">
    <w:name w:val="Body Text"/>
    <w:basedOn w:val="a0"/>
    <w:pPr>
      <w:widowControl/>
      <w:jc w:val="left"/>
    </w:pPr>
    <w:rPr>
      <w:rFonts w:ascii="Times New Roman" w:hAnsi="Times New Roman" w:cs="Times New Roman"/>
      <w:sz w:val="18"/>
      <w:szCs w:val="18"/>
    </w:rPr>
  </w:style>
  <w:style w:type="paragraph" w:styleId="af0">
    <w:name w:val="Body Text Indent"/>
    <w:basedOn w:val="a0"/>
    <w:pPr>
      <w:widowControl/>
      <w:tabs>
        <w:tab w:val="left" w:pos="0"/>
      </w:tabs>
      <w:ind w:firstLine="709"/>
    </w:pPr>
    <w:rPr>
      <w:rFonts w:ascii="Times New Roman" w:hAnsi="Times New Roman" w:cs="Times New Roman"/>
      <w:sz w:val="18"/>
      <w:szCs w:val="18"/>
      <w:lang w:val="uk-UA"/>
    </w:rPr>
  </w:style>
  <w:style w:type="paragraph" w:styleId="af1">
    <w:name w:val="List Bullet"/>
    <w:basedOn w:val="a0"/>
    <w:pPr>
      <w:ind w:left="360" w:hanging="360"/>
    </w:pPr>
  </w:style>
  <w:style w:type="paragraph" w:styleId="af2">
    <w:name w:val="Title"/>
    <w:basedOn w:val="a0"/>
    <w:qFormat/>
    <w:pPr>
      <w:ind w:right="-151"/>
      <w:jc w:val="center"/>
    </w:pPr>
    <w:rPr>
      <w:b/>
      <w:bCs/>
      <w:sz w:val="24"/>
      <w:szCs w:val="24"/>
    </w:rPr>
  </w:style>
  <w:style w:type="paragraph" w:styleId="af3">
    <w:name w:val="footer"/>
    <w:basedOn w:val="a0"/>
    <w:link w:val="af4"/>
    <w:pPr>
      <w:widowControl/>
      <w:tabs>
        <w:tab w:val="center" w:pos="4153"/>
        <w:tab w:val="right" w:pos="8306"/>
      </w:tabs>
      <w:jc w:val="left"/>
    </w:pPr>
    <w:rPr>
      <w:rFonts w:ascii="Times New Roman" w:hAnsi="Times New Roman" w:cs="Times New Roman"/>
    </w:rPr>
  </w:style>
  <w:style w:type="paragraph" w:styleId="a">
    <w:name w:val="List"/>
    <w:basedOn w:val="a0"/>
    <w:link w:val="af5"/>
    <w:qFormat/>
    <w:pPr>
      <w:widowControl/>
      <w:numPr>
        <w:numId w:val="1"/>
      </w:numPr>
      <w:spacing w:after="60"/>
    </w:pPr>
    <w:rPr>
      <w:rFonts w:ascii="Arial" w:hAnsi="Arial" w:cs="Times New Roman"/>
      <w:snapToGrid w:val="0"/>
      <w:sz w:val="24"/>
      <w:szCs w:val="24"/>
      <w:lang w:val="zh-CN" w:eastAsia="zh-CN"/>
    </w:rPr>
  </w:style>
  <w:style w:type="paragraph" w:styleId="30">
    <w:name w:val="Body Text 3"/>
    <w:basedOn w:val="a0"/>
    <w:pPr>
      <w:widowControl/>
      <w:jc w:val="left"/>
    </w:pPr>
    <w:rPr>
      <w:rFonts w:ascii="Times New Roman" w:hAnsi="Times New Roman" w:cs="Times New Roman"/>
      <w:color w:val="3366FF"/>
      <w:sz w:val="18"/>
      <w:szCs w:val="18"/>
    </w:rPr>
  </w:style>
  <w:style w:type="paragraph" w:styleId="21">
    <w:name w:val="Body Text Indent 2"/>
    <w:basedOn w:val="a0"/>
    <w:pPr>
      <w:widowControl/>
      <w:autoSpaceDE w:val="0"/>
      <w:autoSpaceDN w:val="0"/>
      <w:ind w:firstLine="720"/>
    </w:pPr>
    <w:rPr>
      <w:rFonts w:ascii="Times New Roman" w:hAnsi="Times New Roman" w:cs="Times New Roman"/>
      <w:i/>
      <w:iCs/>
      <w:sz w:val="28"/>
      <w:szCs w:val="28"/>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Знак"/>
    <w:link w:val="a8"/>
    <w:rPr>
      <w:rFonts w:ascii="Courier New" w:hAnsi="Courier New" w:cs="Courier New"/>
      <w:lang w:val="ru-RU" w:eastAsia="ru-RU"/>
    </w:rPr>
  </w:style>
  <w:style w:type="character" w:customStyle="1" w:styleId="ab">
    <w:name w:val="Текст примечания Знак"/>
    <w:link w:val="aa"/>
    <w:semiHidden/>
    <w:qFormat/>
    <w:rPr>
      <w:lang w:val="ru-RU" w:eastAsia="ru-RU"/>
    </w:rPr>
  </w:style>
  <w:style w:type="character" w:customStyle="1" w:styleId="ae">
    <w:name w:val="Верхний колонтитул Знак"/>
    <w:link w:val="ad"/>
    <w:uiPriority w:val="99"/>
    <w:qFormat/>
  </w:style>
  <w:style w:type="character" w:customStyle="1" w:styleId="af4">
    <w:name w:val="Нижний колонтитул Знак"/>
    <w:link w:val="af3"/>
    <w:qFormat/>
  </w:style>
  <w:style w:type="character" w:customStyle="1" w:styleId="af5">
    <w:name w:val="Список Знак"/>
    <w:link w:val="a"/>
    <w:rPr>
      <w:rFonts w:ascii="Arial" w:hAnsi="Arial"/>
      <w:snapToGrid w:val="0"/>
      <w:sz w:val="24"/>
      <w:szCs w:val="24"/>
      <w:lang w:val="zh-CN" w:eastAsia="zh-CN"/>
    </w:rPr>
  </w:style>
  <w:style w:type="paragraph" w:customStyle="1" w:styleId="11">
    <w:name w:val="1"/>
    <w:basedOn w:val="a0"/>
    <w:qFormat/>
    <w:pPr>
      <w:widowControl/>
      <w:tabs>
        <w:tab w:val="left" w:pos="720"/>
      </w:tabs>
      <w:spacing w:after="160" w:line="240" w:lineRule="exact"/>
      <w:ind w:left="720" w:hanging="720"/>
    </w:pPr>
    <w:rPr>
      <w:rFonts w:ascii="Verdana" w:hAnsi="Verdana" w:cs="Arial"/>
      <w:lang w:val="en-US" w:eastAsia="en-US"/>
    </w:rPr>
  </w:style>
  <w:style w:type="paragraph" w:customStyle="1" w:styleId="12">
    <w:name w:val="Знак1"/>
    <w:basedOn w:val="a0"/>
    <w:pPr>
      <w:widowControl/>
      <w:tabs>
        <w:tab w:val="left" w:pos="720"/>
      </w:tabs>
      <w:spacing w:after="160" w:line="240" w:lineRule="exact"/>
      <w:ind w:left="720" w:hanging="720"/>
    </w:pPr>
    <w:rPr>
      <w:rFonts w:ascii="Verdana" w:hAnsi="Verdana" w:cs="Verdana"/>
      <w:lang w:val="en-US" w:eastAsia="en-US"/>
    </w:rPr>
  </w:style>
  <w:style w:type="paragraph" w:customStyle="1" w:styleId="af7">
    <w:name w:val="Знак Знак"/>
    <w:basedOn w:val="a0"/>
    <w:qFormat/>
    <w:pPr>
      <w:widowControl/>
      <w:tabs>
        <w:tab w:val="left" w:pos="720"/>
      </w:tabs>
      <w:spacing w:after="160" w:line="240" w:lineRule="exact"/>
      <w:ind w:left="720" w:hanging="720"/>
    </w:pPr>
    <w:rPr>
      <w:rFonts w:ascii="Verdana" w:hAnsi="Verdana" w:cs="Verdana"/>
      <w:lang w:val="en-US" w:eastAsia="en-US"/>
    </w:rPr>
  </w:style>
  <w:style w:type="paragraph" w:customStyle="1" w:styleId="af8">
    <w:name w:val="Знак Знак Знак Знак Знак Знак Знак"/>
    <w:basedOn w:val="a0"/>
    <w:uiPriority w:val="99"/>
    <w:pPr>
      <w:widowControl/>
      <w:jc w:val="left"/>
    </w:pPr>
    <w:rPr>
      <w:rFonts w:ascii="Verdana" w:hAnsi="Verdana" w:cs="Verdana"/>
      <w:lang w:val="en-US" w:eastAsia="en-US"/>
    </w:rPr>
  </w:style>
  <w:style w:type="paragraph" w:customStyle="1" w:styleId="22">
    <w:name w:val="Знак2"/>
    <w:basedOn w:val="a0"/>
    <w:qFormat/>
    <w:pPr>
      <w:widowControl/>
      <w:tabs>
        <w:tab w:val="left" w:pos="720"/>
      </w:tabs>
      <w:spacing w:after="160" w:line="240" w:lineRule="exact"/>
      <w:ind w:left="720" w:hanging="720"/>
    </w:pPr>
    <w:rPr>
      <w:rFonts w:ascii="Verdana" w:hAnsi="Verdana" w:cs="Arial"/>
      <w:lang w:val="en-US" w:eastAsia="en-US"/>
    </w:rPr>
  </w:style>
  <w:style w:type="paragraph" w:customStyle="1" w:styleId="af9">
    <w:name w:val="Знак Знак Знак Знак"/>
    <w:basedOn w:val="a0"/>
    <w:pPr>
      <w:widowControl/>
      <w:tabs>
        <w:tab w:val="left" w:pos="720"/>
      </w:tabs>
      <w:spacing w:after="160" w:line="240" w:lineRule="exact"/>
      <w:ind w:left="720" w:hanging="720"/>
    </w:pPr>
    <w:rPr>
      <w:rFonts w:ascii="Verdana" w:hAnsi="Verdana" w:cs="Verdana"/>
      <w:lang w:val="en-US" w:eastAsia="en-US"/>
    </w:rPr>
  </w:style>
  <w:style w:type="paragraph" w:customStyle="1" w:styleId="110">
    <w:name w:val="Знак11"/>
    <w:basedOn w:val="a0"/>
    <w:qFormat/>
    <w:pPr>
      <w:widowControl/>
      <w:tabs>
        <w:tab w:val="left" w:pos="720"/>
      </w:tabs>
      <w:spacing w:after="160" w:line="240" w:lineRule="exact"/>
      <w:ind w:left="720" w:hanging="720"/>
    </w:pPr>
    <w:rPr>
      <w:rFonts w:ascii="Verdana" w:hAnsi="Verdana" w:cs="Arial"/>
      <w:lang w:val="en-US" w:eastAsia="en-US"/>
    </w:rPr>
  </w:style>
  <w:style w:type="paragraph" w:styleId="afa">
    <w:name w:val="List Paragraph"/>
    <w:basedOn w:val="a0"/>
    <w:uiPriority w:val="34"/>
    <w:qFormat/>
    <w:pPr>
      <w:widowControl/>
      <w:spacing w:after="200" w:line="276" w:lineRule="auto"/>
      <w:ind w:left="720"/>
      <w:contextualSpacing/>
      <w:jc w:val="left"/>
    </w:pPr>
    <w:rPr>
      <w:rFonts w:ascii="Calibri" w:eastAsia="Calibri" w:hAnsi="Calibri" w:cs="Times New Roman"/>
      <w:sz w:val="22"/>
      <w:szCs w:val="22"/>
      <w:lang w:eastAsia="en-US"/>
    </w:rPr>
  </w:style>
  <w:style w:type="paragraph" w:customStyle="1" w:styleId="13">
    <w:name w:val="Рецензия1"/>
    <w:uiPriority w:val="99"/>
    <w:semiHidden/>
    <w:qFormat/>
    <w:rPr>
      <w:rFonts w:ascii="Journal" w:hAnsi="Journal" w:cs="Journal"/>
      <w:lang w:val="ru-RU" w:eastAsia="ru-RU"/>
    </w:rPr>
  </w:style>
  <w:style w:type="paragraph" w:customStyle="1" w:styleId="4">
    <w:name w:val="Знак Знак4"/>
    <w:basedOn w:val="a0"/>
    <w:qFormat/>
    <w:pPr>
      <w:widowControl/>
      <w:jc w:val="left"/>
    </w:pPr>
    <w:rPr>
      <w:rFonts w:ascii="Verdana" w:hAnsi="Verdana" w:cs="Verdana"/>
      <w:lang w:val="en-US" w:eastAsia="en-US"/>
    </w:rPr>
  </w:style>
  <w:style w:type="paragraph" w:styleId="afb">
    <w:name w:val="No Spacing"/>
    <w:uiPriority w:val="1"/>
    <w:qFormat/>
    <w:rPr>
      <w:rFonts w:ascii="Calibri" w:eastAsia="Calibri" w:hAnsi="Calibri"/>
      <w:sz w:val="22"/>
      <w:szCs w:val="22"/>
      <w:lang w:val="ru-RU" w:eastAsia="en-US"/>
    </w:rPr>
  </w:style>
  <w:style w:type="paragraph" w:customStyle="1" w:styleId="alex">
    <w:name w:val="Îáû÷íûé.alex"/>
    <w:qFormat/>
    <w:pPr>
      <w:widowControl w:val="0"/>
    </w:pPr>
    <w:rPr>
      <w:rFonts w:ascii="UkrainianJournal" w:hAnsi="UkrainianJournal"/>
      <w:lang w:val="ru-RU" w:eastAsia="ru-RU"/>
    </w:rPr>
  </w:style>
  <w:style w:type="paragraph" w:customStyle="1" w:styleId="1">
    <w:name w:val="Список 1)"/>
    <w:basedOn w:val="a0"/>
    <w:qFormat/>
    <w:pPr>
      <w:widowControl/>
      <w:numPr>
        <w:numId w:val="2"/>
      </w:numPr>
      <w:spacing w:after="60"/>
    </w:pPr>
    <w:rPr>
      <w:rFonts w:ascii="Arial" w:hAnsi="Arial" w:cs="Times New Roman"/>
      <w:sz w:val="24"/>
      <w:szCs w:val="24"/>
    </w:rPr>
  </w:style>
  <w:style w:type="paragraph" w:customStyle="1" w:styleId="afc">
    <w:name w:val="Абзац_Основной текст документа"/>
    <w:basedOn w:val="a0"/>
    <w:link w:val="afd"/>
    <w:qFormat/>
    <w:pPr>
      <w:widowControl/>
      <w:spacing w:before="120" w:after="60"/>
      <w:ind w:firstLine="567"/>
    </w:pPr>
    <w:rPr>
      <w:rFonts w:ascii="Arial" w:hAnsi="Arial" w:cs="Times New Roman"/>
      <w:sz w:val="24"/>
      <w:szCs w:val="24"/>
    </w:rPr>
  </w:style>
  <w:style w:type="character" w:customStyle="1" w:styleId="afd">
    <w:name w:val="Абзац_Основной текст документа Знак"/>
    <w:link w:val="afc"/>
    <w:qFormat/>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4670</Words>
  <Characters>2663</Characters>
  <Application>Microsoft Office Word</Application>
  <DocSecurity>0</DocSecurity>
  <Lines>22</Lines>
  <Paragraphs>14</Paragraphs>
  <ScaleCrop>false</ScaleCrop>
  <Company>Integral-Bank</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9</dc:title>
  <dc:creator>Б.В.Музиченко</dc:creator>
  <cp:lastModifiedBy>Музика Людмила Миколаївна</cp:lastModifiedBy>
  <cp:revision>7</cp:revision>
  <cp:lastPrinted>2021-02-15T13:51:00Z</cp:lastPrinted>
  <dcterms:created xsi:type="dcterms:W3CDTF">2021-02-18T20:52:00Z</dcterms:created>
  <dcterms:modified xsi:type="dcterms:W3CDTF">2022-11-30T11:43:00Z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90D8AF15016F427B897F73BCE36ED6F7</vt:lpwstr>
  </property>
</Properties>
</file>