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hd w:val="clear" w:color="auto" w:fill="FFFFFF"/>
        <w:spacing w:after="0" w:line="240" w:lineRule="auto"/>
        <w:ind w:left="11328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p>
      <w:pPr>
        <w:shd w:val="clear" w:color="auto" w:fill="FFFFFF"/>
        <w:spacing w:after="0" w:line="240" w:lineRule="auto"/>
        <w:ind w:left="11328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p>
      <w:pPr>
        <w:shd w:val="clear" w:color="auto" w:fill="FFFFFF"/>
        <w:spacing w:after="0" w:line="240" w:lineRule="auto"/>
        <w:ind w:left="11328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p>
      <w:pPr>
        <w:shd w:val="clear" w:color="auto" w:fill="FFFFFF"/>
        <w:spacing w:after="0" w:line="240" w:lineRule="auto"/>
        <w:ind w:left="11328"/>
        <w:rPr>
          <w:rFonts w:ascii="Times New Roman" w:eastAsia="Times New Roman" w:hAnsi="Times New Roman"/>
          <w:sz w:val="18"/>
          <w:szCs w:val="18"/>
          <w:lang w:val="uk-UA" w:eastAsia="ru-RU"/>
        </w:rPr>
      </w:pPr>
      <w:r>
        <w:rPr>
          <w:rFonts w:ascii="Times New Roman" w:eastAsia="Times New Roman" w:hAnsi="Times New Roman"/>
          <w:sz w:val="18"/>
          <w:szCs w:val="18"/>
          <w:lang w:val="uk-UA" w:eastAsia="ru-RU"/>
        </w:rPr>
        <w:t xml:space="preserve">                        </w:t>
      </w:r>
    </w:p>
    <w:p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val="uk-UA" w:eastAsia="ru-RU"/>
        </w:rPr>
      </w:pPr>
      <w:r>
        <w:rPr>
          <w:rFonts w:ascii="Times New Roman" w:eastAsia="Times New Roman" w:hAnsi="Times New Roman"/>
          <w:sz w:val="18"/>
          <w:szCs w:val="18"/>
          <w:lang w:val="uk-UA"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shd w:val="clear" w:color="auto" w:fill="FFFFFF"/>
        <w:spacing w:after="0" w:line="240" w:lineRule="auto"/>
        <w:ind w:left="11328"/>
        <w:rPr>
          <w:rFonts w:ascii="Times New Roman" w:eastAsia="Times New Roman" w:hAnsi="Times New Roman"/>
          <w:sz w:val="18"/>
          <w:szCs w:val="18"/>
          <w:lang w:val="uk-UA" w:eastAsia="ru-RU"/>
        </w:rPr>
      </w:pPr>
      <w:r>
        <w:rPr>
          <w:rFonts w:ascii="Times New Roman" w:eastAsia="Times New Roman" w:hAnsi="Times New Roman"/>
          <w:sz w:val="18"/>
          <w:szCs w:val="18"/>
          <w:lang w:val="uk-UA" w:eastAsia="ru-RU"/>
        </w:rPr>
        <w:t>Додаток 12</w:t>
      </w:r>
    </w:p>
    <w:p>
      <w:pPr>
        <w:shd w:val="clear" w:color="auto" w:fill="FFFFFF"/>
        <w:spacing w:after="0" w:line="240" w:lineRule="auto"/>
        <w:ind w:left="11328"/>
        <w:rPr>
          <w:rFonts w:ascii="Times New Roman" w:eastAsia="Times New Roman" w:hAnsi="Times New Roman"/>
          <w:sz w:val="18"/>
          <w:szCs w:val="18"/>
          <w:lang w:val="uk-UA" w:eastAsia="ru-RU"/>
        </w:rPr>
      </w:pPr>
      <w:r>
        <w:rPr>
          <w:rFonts w:ascii="Times New Roman" w:eastAsia="Times New Roman" w:hAnsi="Times New Roman"/>
          <w:sz w:val="18"/>
          <w:szCs w:val="18"/>
          <w:lang w:val="uk-UA" w:eastAsia="ru-RU"/>
        </w:rPr>
        <w:t xml:space="preserve">до Положення про порядок складання </w:t>
      </w:r>
    </w:p>
    <w:p>
      <w:pPr>
        <w:shd w:val="clear" w:color="auto" w:fill="FFFFFF"/>
        <w:spacing w:after="0" w:line="240" w:lineRule="auto"/>
        <w:ind w:left="11328"/>
        <w:rPr>
          <w:rFonts w:ascii="Times New Roman" w:eastAsia="Times New Roman" w:hAnsi="Times New Roman"/>
          <w:sz w:val="18"/>
          <w:szCs w:val="18"/>
          <w:lang w:val="uk-UA" w:eastAsia="ru-RU"/>
        </w:rPr>
      </w:pPr>
      <w:r>
        <w:rPr>
          <w:rFonts w:ascii="Times New Roman" w:eastAsia="Times New Roman" w:hAnsi="Times New Roman"/>
          <w:sz w:val="18"/>
          <w:szCs w:val="18"/>
          <w:lang w:val="uk-UA" w:eastAsia="ru-RU"/>
        </w:rPr>
        <w:t>та подання адміністративних даних щодо</w:t>
      </w:r>
    </w:p>
    <w:p>
      <w:pPr>
        <w:shd w:val="clear" w:color="auto" w:fill="FFFFFF"/>
        <w:spacing w:after="0" w:line="240" w:lineRule="auto"/>
        <w:ind w:left="11328"/>
        <w:rPr>
          <w:rFonts w:ascii="Times New Roman" w:eastAsia="Times New Roman" w:hAnsi="Times New Roman"/>
          <w:sz w:val="18"/>
          <w:szCs w:val="18"/>
          <w:lang w:val="uk-UA" w:eastAsia="ru-RU"/>
        </w:rPr>
      </w:pPr>
      <w:r>
        <w:rPr>
          <w:rFonts w:ascii="Times New Roman" w:eastAsia="Times New Roman" w:hAnsi="Times New Roman"/>
          <w:sz w:val="18"/>
          <w:szCs w:val="18"/>
          <w:lang w:val="uk-UA" w:eastAsia="ru-RU"/>
        </w:rPr>
        <w:t xml:space="preserve">діяльності управителями іпотечним покриттям  </w:t>
      </w:r>
    </w:p>
    <w:p>
      <w:pPr>
        <w:shd w:val="clear" w:color="auto" w:fill="FFFFFF"/>
        <w:spacing w:after="0" w:line="240" w:lineRule="auto"/>
        <w:ind w:left="5664" w:firstLine="708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p>
      <w:pPr>
        <w:shd w:val="clear" w:color="auto" w:fill="FFFFFF"/>
        <w:spacing w:after="0" w:line="435" w:lineRule="atLeast"/>
        <w:jc w:val="center"/>
        <w:outlineLvl w:val="3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Відомості про заміни у реєстрі іпотечного покриття</w:t>
      </w:r>
    </w:p>
    <w:p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1"/>
          <w:szCs w:val="21"/>
          <w:lang w:val="uk-UA"/>
        </w:rPr>
      </w:pPr>
    </w:p>
    <w:p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1"/>
          <w:szCs w:val="21"/>
          <w:u w:val="single"/>
          <w:lang w:val="uk-UA"/>
        </w:rPr>
      </w:pPr>
      <w:r>
        <w:rPr>
          <w:rFonts w:ascii="Times New Roman" w:hAnsi="Times New Roman"/>
          <w:b/>
          <w:sz w:val="21"/>
          <w:szCs w:val="21"/>
          <w:u w:val="single"/>
          <w:lang w:val="uk-UA"/>
        </w:rPr>
        <w:t>Публічне акціонерне товариство акціонерний банк “</w:t>
      </w:r>
      <w:proofErr w:type="spellStart"/>
      <w:r>
        <w:rPr>
          <w:rFonts w:ascii="Times New Roman" w:hAnsi="Times New Roman"/>
          <w:b/>
          <w:sz w:val="21"/>
          <w:szCs w:val="21"/>
          <w:u w:val="single"/>
          <w:lang w:val="uk-UA"/>
        </w:rPr>
        <w:t>Укргазбанк</w:t>
      </w:r>
      <w:proofErr w:type="spellEnd"/>
      <w:r>
        <w:rPr>
          <w:rFonts w:ascii="Times New Roman" w:hAnsi="Times New Roman"/>
          <w:b/>
          <w:sz w:val="21"/>
          <w:szCs w:val="21"/>
          <w:u w:val="single"/>
          <w:lang w:val="uk-UA"/>
        </w:rPr>
        <w:t>”</w:t>
      </w:r>
    </w:p>
    <w:p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val="uk-UA" w:eastAsia="ru-RU"/>
        </w:rPr>
      </w:pPr>
      <w:r>
        <w:rPr>
          <w:rFonts w:ascii="Times New Roman" w:eastAsia="Times New Roman" w:hAnsi="Times New Roman"/>
          <w:sz w:val="18"/>
          <w:szCs w:val="18"/>
          <w:lang w:val="uk-UA" w:eastAsia="ru-RU"/>
        </w:rPr>
        <w:t>(Повне найменування управителя іпотечним покриттям)</w:t>
      </w:r>
    </w:p>
    <w:p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1"/>
          <w:szCs w:val="21"/>
          <w:u w:val="single"/>
          <w:lang w:val="uk-UA"/>
        </w:rPr>
      </w:pPr>
      <w:r>
        <w:rPr>
          <w:rFonts w:ascii="Times New Roman" w:hAnsi="Times New Roman"/>
          <w:b/>
          <w:sz w:val="21"/>
          <w:szCs w:val="21"/>
          <w:u w:val="single"/>
          <w:lang w:val="uk-UA"/>
        </w:rPr>
        <w:t>23697280</w:t>
      </w:r>
    </w:p>
    <w:p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val="uk-UA" w:eastAsia="ru-RU"/>
        </w:rPr>
      </w:pPr>
      <w:r>
        <w:rPr>
          <w:rFonts w:ascii="Times New Roman" w:eastAsia="Times New Roman" w:hAnsi="Times New Roman"/>
          <w:sz w:val="18"/>
          <w:szCs w:val="18"/>
          <w:lang w:val="uk-UA" w:eastAsia="ru-RU"/>
        </w:rPr>
        <w:t>(Код за ЄДРПОУ)</w:t>
      </w:r>
    </w:p>
    <w:p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p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8"/>
          <w:szCs w:val="18"/>
          <w:lang w:val="uk-UA" w:eastAsia="ru-RU"/>
        </w:rPr>
      </w:pPr>
      <w:r>
        <w:rPr>
          <w:rFonts w:ascii="Times New Roman" w:eastAsia="Times New Roman" w:hAnsi="Times New Roman"/>
          <w:sz w:val="18"/>
          <w:szCs w:val="18"/>
          <w:lang w:val="uk-UA" w:eastAsia="ru-RU"/>
        </w:rPr>
        <w:t xml:space="preserve">Дата виникнення нерегулярних даних: </w:t>
      </w:r>
      <w:r>
        <w:rPr>
          <w:rFonts w:ascii="Times New Roman" w:eastAsia="Times New Roman" w:hAnsi="Times New Roman"/>
          <w:sz w:val="18"/>
          <w:szCs w:val="18"/>
          <w:lang w:eastAsia="ru-RU"/>
        </w:rPr>
        <w:t>16</w:t>
      </w:r>
      <w:r>
        <w:rPr>
          <w:rFonts w:ascii="Times New Roman" w:eastAsia="Times New Roman" w:hAnsi="Times New Roman"/>
          <w:sz w:val="18"/>
          <w:szCs w:val="18"/>
          <w:lang w:val="uk-UA" w:eastAsia="ru-RU"/>
        </w:rPr>
        <w:t>.</w:t>
      </w:r>
      <w:r>
        <w:rPr>
          <w:rFonts w:ascii="Times New Roman" w:eastAsia="Times New Roman" w:hAnsi="Times New Roman"/>
          <w:sz w:val="18"/>
          <w:szCs w:val="18"/>
          <w:lang w:eastAsia="ru-RU"/>
        </w:rPr>
        <w:t>04</w:t>
      </w:r>
      <w:r>
        <w:rPr>
          <w:rFonts w:ascii="Times New Roman" w:eastAsia="Times New Roman" w:hAnsi="Times New Roman"/>
          <w:sz w:val="18"/>
          <w:szCs w:val="18"/>
          <w:lang w:val="uk-UA" w:eastAsia="ru-RU"/>
        </w:rPr>
        <w:t>.201</w:t>
      </w:r>
      <w:r>
        <w:rPr>
          <w:rFonts w:ascii="Times New Roman" w:eastAsia="Times New Roman" w:hAnsi="Times New Roman"/>
          <w:sz w:val="18"/>
          <w:szCs w:val="18"/>
          <w:lang w:eastAsia="ru-RU"/>
        </w:rPr>
        <w:t>5</w:t>
      </w:r>
      <w:r>
        <w:rPr>
          <w:rFonts w:ascii="Times New Roman" w:eastAsia="Times New Roman" w:hAnsi="Times New Roman"/>
          <w:sz w:val="18"/>
          <w:szCs w:val="18"/>
          <w:lang w:val="uk-UA" w:eastAsia="ru-RU"/>
        </w:rPr>
        <w:t xml:space="preserve"> р.</w:t>
      </w:r>
    </w:p>
    <w:p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8"/>
          <w:szCs w:val="18"/>
          <w:lang w:val="uk-UA" w:eastAsia="ru-RU"/>
        </w:rPr>
      </w:pPr>
      <w:r>
        <w:rPr>
          <w:rFonts w:ascii="Times New Roman" w:eastAsia="Times New Roman" w:hAnsi="Times New Roman"/>
          <w:sz w:val="18"/>
          <w:szCs w:val="18"/>
          <w:lang w:val="uk-UA" w:eastAsia="ru-RU"/>
        </w:rPr>
        <w:t xml:space="preserve">Дата складання нерегулярних даних: </w:t>
      </w:r>
      <w:r>
        <w:rPr>
          <w:rFonts w:ascii="Times New Roman" w:eastAsia="Times New Roman" w:hAnsi="Times New Roman"/>
          <w:sz w:val="18"/>
          <w:szCs w:val="18"/>
          <w:lang w:eastAsia="ru-RU"/>
        </w:rPr>
        <w:t>16</w:t>
      </w:r>
      <w:r>
        <w:rPr>
          <w:rFonts w:ascii="Times New Roman" w:eastAsia="Times New Roman" w:hAnsi="Times New Roman"/>
          <w:sz w:val="18"/>
          <w:szCs w:val="18"/>
          <w:lang w:val="uk-UA" w:eastAsia="ru-RU"/>
        </w:rPr>
        <w:t>.</w:t>
      </w:r>
      <w:r>
        <w:rPr>
          <w:rFonts w:ascii="Times New Roman" w:eastAsia="Times New Roman" w:hAnsi="Times New Roman"/>
          <w:sz w:val="18"/>
          <w:szCs w:val="18"/>
          <w:lang w:eastAsia="ru-RU"/>
        </w:rPr>
        <w:t>04</w:t>
      </w:r>
      <w:r>
        <w:rPr>
          <w:rFonts w:ascii="Times New Roman" w:eastAsia="Times New Roman" w:hAnsi="Times New Roman"/>
          <w:sz w:val="18"/>
          <w:szCs w:val="18"/>
          <w:lang w:val="uk-UA" w:eastAsia="ru-RU"/>
        </w:rPr>
        <w:t>.201</w:t>
      </w:r>
      <w:r>
        <w:rPr>
          <w:rFonts w:ascii="Times New Roman" w:eastAsia="Times New Roman" w:hAnsi="Times New Roman"/>
          <w:sz w:val="18"/>
          <w:szCs w:val="18"/>
          <w:lang w:eastAsia="ru-RU"/>
        </w:rPr>
        <w:t>5</w:t>
      </w:r>
      <w:r>
        <w:rPr>
          <w:rFonts w:ascii="Times New Roman" w:eastAsia="Times New Roman" w:hAnsi="Times New Roman"/>
          <w:sz w:val="18"/>
          <w:szCs w:val="18"/>
          <w:lang w:val="uk-UA" w:eastAsia="ru-RU"/>
        </w:rPr>
        <w:t xml:space="preserve"> р.</w:t>
      </w:r>
    </w:p>
    <w:tbl>
      <w:tblPr>
        <w:tblW w:w="0" w:type="auto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98"/>
        <w:gridCol w:w="902"/>
        <w:gridCol w:w="950"/>
        <w:gridCol w:w="1032"/>
        <w:gridCol w:w="1140"/>
        <w:gridCol w:w="1543"/>
        <w:gridCol w:w="930"/>
        <w:gridCol w:w="1025"/>
        <w:gridCol w:w="752"/>
        <w:gridCol w:w="896"/>
        <w:gridCol w:w="1372"/>
        <w:gridCol w:w="1134"/>
        <w:gridCol w:w="1417"/>
        <w:gridCol w:w="1208"/>
      </w:tblGrid>
      <w:tr>
        <w:trPr>
          <w:tblCellSpacing w:w="22" w:type="dxa"/>
        </w:trPr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Емітент, з яким укладено договір про управління іпотечним покриттям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Дата укладання договору</w:t>
            </w:r>
          </w:p>
        </w:tc>
        <w:tc>
          <w:tcPr>
            <w:tcW w:w="98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Номер договору</w:t>
            </w:r>
          </w:p>
        </w:tc>
        <w:tc>
          <w:tcPr>
            <w:tcW w:w="109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Дата реєстрації випуску іпотечних облігацій</w:t>
            </w:r>
          </w:p>
        </w:tc>
        <w:tc>
          <w:tcPr>
            <w:tcW w:w="149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Номер свідоцтва про реєстрацію випуску іпотечних облігацій</w:t>
            </w:r>
          </w:p>
        </w:tc>
        <w:tc>
          <w:tcPr>
            <w:tcW w:w="88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Вид іпотечних облігацій відповідно до Довідника 7</w:t>
            </w:r>
          </w:p>
        </w:tc>
        <w:tc>
          <w:tcPr>
            <w:tcW w:w="98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Дата прийняття рішення про заміну</w:t>
            </w:r>
          </w:p>
        </w:tc>
        <w:tc>
          <w:tcPr>
            <w:tcW w:w="16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Частка (у відсотках) у складі іпотечного покриття</w:t>
            </w:r>
          </w:p>
        </w:tc>
        <w:tc>
          <w:tcPr>
            <w:tcW w:w="506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Іпотечні активи (інші активи) у складі іпотечного покриття, щодо яких прийнято рішення</w:t>
            </w:r>
          </w:p>
        </w:tc>
      </w:tr>
      <w:tr>
        <w:trPr>
          <w:tblCellSpacing w:w="22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988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09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49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8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98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70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іпотечні активи</w:t>
            </w:r>
          </w:p>
        </w:tc>
        <w:tc>
          <w:tcPr>
            <w:tcW w:w="85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інші активи</w:t>
            </w:r>
          </w:p>
        </w:tc>
        <w:tc>
          <w:tcPr>
            <w:tcW w:w="24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про виключення зі складу іпотечного покриття</w:t>
            </w:r>
          </w:p>
        </w:tc>
        <w:tc>
          <w:tcPr>
            <w:tcW w:w="25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про включення до складу іпотечного покриття</w:t>
            </w:r>
          </w:p>
        </w:tc>
      </w:tr>
      <w:tr>
        <w:trPr>
          <w:trHeight w:val="276"/>
          <w:tblCellSpacing w:w="22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988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09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49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8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98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70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85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32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найменування активу</w:t>
            </w:r>
          </w:p>
        </w:tc>
        <w:tc>
          <w:tcPr>
            <w:tcW w:w="10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вартість</w:t>
            </w:r>
          </w:p>
        </w:tc>
        <w:tc>
          <w:tcPr>
            <w:tcW w:w="137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найменування активу</w:t>
            </w:r>
          </w:p>
        </w:tc>
        <w:tc>
          <w:tcPr>
            <w:tcW w:w="114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вартість</w:t>
            </w:r>
          </w:p>
        </w:tc>
      </w:tr>
      <w:tr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Найменування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Код за ЄДРПОУ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988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09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49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8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98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70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85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32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09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37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14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</w:tr>
      <w:tr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2 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3 </w:t>
            </w:r>
          </w:p>
        </w:tc>
        <w:tc>
          <w:tcPr>
            <w:tcW w:w="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4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5 </w:t>
            </w:r>
          </w:p>
        </w:tc>
        <w:tc>
          <w:tcPr>
            <w:tcW w:w="1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6 </w:t>
            </w:r>
          </w:p>
        </w:tc>
        <w:tc>
          <w:tcPr>
            <w:tcW w:w="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7 </w:t>
            </w:r>
          </w:p>
        </w:tc>
        <w:tc>
          <w:tcPr>
            <w:tcW w:w="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8 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9 </w:t>
            </w: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10 </w:t>
            </w:r>
          </w:p>
        </w:tc>
        <w:tc>
          <w:tcPr>
            <w:tcW w:w="1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11 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12 </w:t>
            </w:r>
          </w:p>
        </w:tc>
        <w:tc>
          <w:tcPr>
            <w:tcW w:w="1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13 </w:t>
            </w:r>
          </w:p>
        </w:tc>
        <w:tc>
          <w:tcPr>
            <w:tcW w:w="1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14 </w:t>
            </w:r>
          </w:p>
        </w:tc>
      </w:tr>
      <w:tr>
        <w:trPr>
          <w:trHeight w:val="218"/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ПАТ «АРЖК»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38040228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14.09.2012</w:t>
            </w:r>
          </w:p>
        </w:tc>
        <w:tc>
          <w:tcPr>
            <w:tcW w:w="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УІП-01/12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09.10.2012</w:t>
            </w:r>
          </w:p>
        </w:tc>
        <w:tc>
          <w:tcPr>
            <w:tcW w:w="1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1/4/2012/</w:t>
            </w:r>
          </w:p>
        </w:tc>
        <w:tc>
          <w:tcPr>
            <w:tcW w:w="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01130610</w:t>
            </w:r>
          </w:p>
        </w:tc>
        <w:tc>
          <w:tcPr>
            <w:tcW w:w="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5</w:t>
            </w: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.</w:t>
            </w:r>
            <w:r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04</w:t>
            </w: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.201</w:t>
            </w:r>
            <w:r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5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89,81</w:t>
            </w: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10,19</w:t>
            </w:r>
          </w:p>
        </w:tc>
        <w:tc>
          <w:tcPr>
            <w:tcW w:w="1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Іпотечні активи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3 536 227,39</w:t>
            </w:r>
          </w:p>
        </w:tc>
        <w:tc>
          <w:tcPr>
            <w:tcW w:w="1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Іпотечні активи</w:t>
            </w:r>
          </w:p>
        </w:tc>
        <w:tc>
          <w:tcPr>
            <w:tcW w:w="1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8 425 738,54</w:t>
            </w:r>
          </w:p>
        </w:tc>
      </w:tr>
      <w:tr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ПАТ «АРЖК»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38040228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19.12.2012</w:t>
            </w:r>
          </w:p>
        </w:tc>
        <w:tc>
          <w:tcPr>
            <w:tcW w:w="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УІП-03/12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15.01.2013</w:t>
            </w:r>
          </w:p>
        </w:tc>
        <w:tc>
          <w:tcPr>
            <w:tcW w:w="1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1/4/2013/</w:t>
            </w:r>
          </w:p>
        </w:tc>
        <w:tc>
          <w:tcPr>
            <w:tcW w:w="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01130610</w:t>
            </w:r>
          </w:p>
        </w:tc>
        <w:tc>
          <w:tcPr>
            <w:tcW w:w="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4</w:t>
            </w: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.0</w:t>
            </w:r>
            <w:r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4</w:t>
            </w: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.201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Іпотечні активи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3 609 347,65</w:t>
            </w:r>
          </w:p>
        </w:tc>
        <w:tc>
          <w:tcPr>
            <w:tcW w:w="1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Іпотечні активи</w:t>
            </w:r>
          </w:p>
        </w:tc>
        <w:tc>
          <w:tcPr>
            <w:tcW w:w="1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3 640 749,15</w:t>
            </w:r>
            <w:bookmarkStart w:id="0" w:name="_GoBack"/>
            <w:bookmarkEnd w:id="0"/>
          </w:p>
        </w:tc>
      </w:tr>
    </w:tbl>
    <w:p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p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p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p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tbl>
      <w:tblPr>
        <w:tblW w:w="5000" w:type="pct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84"/>
        <w:gridCol w:w="4816"/>
        <w:gridCol w:w="6069"/>
      </w:tblGrid>
      <w:tr>
        <w:trPr>
          <w:tblCellSpacing w:w="22" w:type="dxa"/>
        </w:trPr>
        <w:tc>
          <w:tcPr>
            <w:tcW w:w="1483" w:type="pct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u w:val="single"/>
                <w:lang w:val="uk-UA" w:eastAsia="ru-RU"/>
              </w:rPr>
              <w:t>Заступник Голови Правління</w:t>
            </w: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br/>
              <w:t xml:space="preserve">(посада)       </w:t>
            </w:r>
          </w:p>
        </w:tc>
        <w:tc>
          <w:tcPr>
            <w:tcW w:w="1533" w:type="pct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_________________</w:t>
            </w: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br/>
              <w:t>(підпис) </w:t>
            </w:r>
          </w:p>
        </w:tc>
        <w:tc>
          <w:tcPr>
            <w:tcW w:w="1928" w:type="pct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u w:val="single"/>
                <w:lang w:val="uk-UA" w:eastAsia="ru-RU"/>
              </w:rPr>
              <w:t>_О.Є.Крихт</w:t>
            </w:r>
            <w:proofErr w:type="spellEnd"/>
            <w:r>
              <w:rPr>
                <w:rFonts w:ascii="Times New Roman" w:eastAsia="Times New Roman" w:hAnsi="Times New Roman"/>
                <w:u w:val="single"/>
                <w:lang w:val="uk-UA" w:eastAsia="ru-RU"/>
              </w:rPr>
              <w:t>ін</w:t>
            </w: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br/>
              <w:t>(прізвище та ініціали керівника) </w:t>
            </w:r>
          </w:p>
        </w:tc>
      </w:tr>
      <w:tr>
        <w:trPr>
          <w:tblCellSpacing w:w="22" w:type="dxa"/>
        </w:trPr>
        <w:tc>
          <w:tcPr>
            <w:tcW w:w="1483" w:type="pct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 xml:space="preserve">                              </w:t>
            </w:r>
          </w:p>
        </w:tc>
        <w:tc>
          <w:tcPr>
            <w:tcW w:w="1533" w:type="pct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                                              М.П.</w:t>
            </w:r>
          </w:p>
        </w:tc>
        <w:tc>
          <w:tcPr>
            <w:tcW w:w="1928" w:type="pct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  </w:t>
            </w:r>
          </w:p>
        </w:tc>
      </w:tr>
    </w:tbl>
    <w:p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p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p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p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p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p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sectPr>
      <w:pgSz w:w="16838" w:h="11906" w:orient="landscape"/>
      <w:pgMar w:top="0" w:right="678" w:bottom="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010F0B-7A67-4E48-8C25-8F6DA318B9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Лариса Сахно</dc:creator>
  <cp:lastModifiedBy>Логвиненко Альона Миколаївна</cp:lastModifiedBy>
  <cp:revision>26</cp:revision>
  <cp:lastPrinted>2015-01-19T14:54:00Z</cp:lastPrinted>
  <dcterms:created xsi:type="dcterms:W3CDTF">2013-07-18T12:32:00Z</dcterms:created>
  <dcterms:modified xsi:type="dcterms:W3CDTF">2015-04-16T08:14:00Z</dcterms:modified>
</cp:coreProperties>
</file>