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B9" w:rsidRPr="002814A8" w:rsidRDefault="00D611B9" w:rsidP="00D611B9">
      <w:pPr>
        <w:jc w:val="right"/>
        <w:rPr>
          <w:bCs/>
          <w:sz w:val="22"/>
          <w:szCs w:val="22"/>
          <w:lang w:val="ru-RU"/>
        </w:rPr>
      </w:pPr>
      <w:r w:rsidRPr="00B26835">
        <w:rPr>
          <w:bCs/>
          <w:sz w:val="22"/>
          <w:szCs w:val="22"/>
        </w:rPr>
        <w:t xml:space="preserve">Додаток </w:t>
      </w:r>
      <w:r>
        <w:rPr>
          <w:bCs/>
          <w:sz w:val="22"/>
          <w:szCs w:val="22"/>
        </w:rPr>
        <w:t>2 до</w:t>
      </w:r>
      <w:r w:rsidRPr="00B26835">
        <w:rPr>
          <w:bCs/>
          <w:sz w:val="22"/>
          <w:szCs w:val="22"/>
        </w:rPr>
        <w:t xml:space="preserve"> </w:t>
      </w:r>
      <w:r>
        <w:rPr>
          <w:bCs/>
          <w:sz w:val="22"/>
          <w:szCs w:val="22"/>
        </w:rPr>
        <w:t>П</w:t>
      </w:r>
      <w:r w:rsidRPr="007E0CCD">
        <w:rPr>
          <w:bCs/>
          <w:sz w:val="22"/>
          <w:szCs w:val="22"/>
        </w:rPr>
        <w:t xml:space="preserve">ротоколу спільного засідання </w:t>
      </w:r>
      <w:r>
        <w:rPr>
          <w:bCs/>
          <w:sz w:val="22"/>
          <w:szCs w:val="22"/>
        </w:rPr>
        <w:t>КУАП</w:t>
      </w:r>
      <w:r w:rsidRPr="007E0CCD">
        <w:rPr>
          <w:bCs/>
          <w:sz w:val="22"/>
          <w:szCs w:val="22"/>
        </w:rPr>
        <w:t xml:space="preserve"> та </w:t>
      </w:r>
      <w:r>
        <w:rPr>
          <w:bCs/>
          <w:sz w:val="22"/>
          <w:szCs w:val="22"/>
        </w:rPr>
        <w:t>ТК</w:t>
      </w:r>
      <w:r w:rsidRPr="007E0CCD">
        <w:rPr>
          <w:bCs/>
          <w:sz w:val="22"/>
          <w:szCs w:val="22"/>
        </w:rPr>
        <w:t xml:space="preserve">  № </w:t>
      </w:r>
      <w:r w:rsidRPr="00BC7E8F">
        <w:rPr>
          <w:bCs/>
          <w:sz w:val="22"/>
          <w:szCs w:val="22"/>
          <w:lang w:val="ru-RU"/>
        </w:rPr>
        <w:t>2703218/1</w:t>
      </w:r>
      <w:r w:rsidRPr="00B26835">
        <w:rPr>
          <w:sz w:val="22"/>
          <w:szCs w:val="22"/>
        </w:rPr>
        <w:t xml:space="preserve"> від</w:t>
      </w:r>
      <w:r w:rsidRPr="00BC7E8F">
        <w:rPr>
          <w:sz w:val="22"/>
          <w:szCs w:val="22"/>
          <w:lang w:val="ru-RU"/>
        </w:rPr>
        <w:t xml:space="preserve"> 27</w:t>
      </w:r>
      <w:r>
        <w:rPr>
          <w:sz w:val="22"/>
          <w:szCs w:val="22"/>
        </w:rPr>
        <w:t>.03.2018 року</w:t>
      </w:r>
    </w:p>
    <w:p w:rsidR="00992E0C" w:rsidRPr="00D611B9" w:rsidRDefault="00992E0C" w:rsidP="00992E0C">
      <w:pPr>
        <w:jc w:val="center"/>
        <w:rPr>
          <w:b/>
          <w:i/>
          <w:sz w:val="22"/>
          <w:szCs w:val="22"/>
          <w:lang w:val="ru-RU"/>
        </w:rPr>
      </w:pPr>
    </w:p>
    <w:p w:rsidR="00992E0C" w:rsidRPr="00B26835" w:rsidRDefault="00992E0C" w:rsidP="00992E0C">
      <w:pPr>
        <w:jc w:val="center"/>
        <w:rPr>
          <w:b/>
          <w:i/>
          <w:sz w:val="22"/>
          <w:szCs w:val="22"/>
        </w:rPr>
      </w:pPr>
      <w:r w:rsidRPr="00B26835">
        <w:rPr>
          <w:b/>
          <w:i/>
          <w:sz w:val="22"/>
          <w:szCs w:val="22"/>
        </w:rPr>
        <w:t xml:space="preserve">Пропозиція про зміну умов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 </w:t>
      </w:r>
    </w:p>
    <w:p w:rsidR="00992E0C" w:rsidRPr="00B26835" w:rsidRDefault="00992E0C" w:rsidP="00992E0C">
      <w:pPr>
        <w:jc w:val="center"/>
        <w:rPr>
          <w:b/>
          <w:sz w:val="22"/>
          <w:szCs w:val="22"/>
        </w:rPr>
      </w:pPr>
    </w:p>
    <w:p w:rsidR="00992E0C" w:rsidRPr="00B26835" w:rsidRDefault="00992E0C" w:rsidP="00992E0C">
      <w:pPr>
        <w:jc w:val="center"/>
        <w:rPr>
          <w:b/>
          <w:sz w:val="22"/>
          <w:szCs w:val="22"/>
        </w:rPr>
      </w:pPr>
      <w:r w:rsidRPr="00B26835">
        <w:rPr>
          <w:b/>
          <w:sz w:val="22"/>
          <w:szCs w:val="22"/>
        </w:rPr>
        <w:t>ШАНОВНІ КЛІЄНТИ!</w:t>
      </w:r>
    </w:p>
    <w:p w:rsidR="00992E0C" w:rsidRPr="00B26835" w:rsidRDefault="00992E0C" w:rsidP="00992E0C">
      <w:pPr>
        <w:ind w:firstLine="567"/>
        <w:jc w:val="both"/>
        <w:rPr>
          <w:sz w:val="22"/>
          <w:szCs w:val="22"/>
        </w:rPr>
      </w:pPr>
      <w:r w:rsidRPr="00B26835">
        <w:rPr>
          <w:sz w:val="22"/>
          <w:szCs w:val="22"/>
        </w:rPr>
        <w:t xml:space="preserve">Повідомляємо, що з </w:t>
      </w:r>
      <w:r w:rsidR="009262DC">
        <w:rPr>
          <w:sz w:val="22"/>
          <w:szCs w:val="22"/>
        </w:rPr>
        <w:t>01.04.2018</w:t>
      </w:r>
      <w:r w:rsidRPr="00B26835">
        <w:rPr>
          <w:sz w:val="22"/>
          <w:szCs w:val="22"/>
        </w:rPr>
        <w:t xml:space="preserve"> АБ «УКРГАЗБАНК» вносить зміни </w:t>
      </w:r>
      <w:r w:rsidR="00B0686E" w:rsidRPr="00B26835">
        <w:rPr>
          <w:sz w:val="22"/>
          <w:szCs w:val="22"/>
        </w:rPr>
        <w:t xml:space="preserve">та доповнення </w:t>
      </w:r>
      <w:r w:rsidRPr="00B26835">
        <w:rPr>
          <w:sz w:val="22"/>
          <w:szCs w:val="22"/>
        </w:rPr>
        <w:t>до Правил відкриття та обслуговування поточного рахунку фізичної особи, операції за яким здійснюються з використанням електронних платіжних засобів, та надання послуг за платіжними картками ПУБЛІЧНИМ АКЦІОНЕРНИМ ТОВАРИСТВОМ АКЦІОНЕРНИМ БАНКОМ «УКРГАЗБАНК»</w:t>
      </w:r>
      <w:r w:rsidR="00C941ED" w:rsidRPr="00B26835">
        <w:rPr>
          <w:sz w:val="22"/>
          <w:szCs w:val="22"/>
        </w:rPr>
        <w:t xml:space="preserve"> (далі – Правила)</w:t>
      </w:r>
      <w:r w:rsidRPr="00B26835">
        <w:rPr>
          <w:bCs/>
          <w:sz w:val="22"/>
          <w:szCs w:val="22"/>
        </w:rPr>
        <w:t>,</w:t>
      </w:r>
      <w:r w:rsidRPr="00B26835">
        <w:rPr>
          <w:sz w:val="22"/>
          <w:szCs w:val="22"/>
        </w:rPr>
        <w:t xml:space="preserve"> а саме викладає в новій редакції</w:t>
      </w:r>
      <w:r w:rsidR="00B26835">
        <w:rPr>
          <w:sz w:val="22"/>
          <w:szCs w:val="22"/>
        </w:rPr>
        <w:t xml:space="preserve"> та доповнює Правила наступними пунктами/підпунктами</w:t>
      </w:r>
      <w:r w:rsidRPr="00B26835">
        <w:rPr>
          <w:sz w:val="22"/>
          <w:szCs w:val="22"/>
        </w:rPr>
        <w:t>:</w:t>
      </w:r>
    </w:p>
    <w:p w:rsidR="00992E0C" w:rsidRPr="00AD58B7" w:rsidRDefault="00992E0C" w:rsidP="00992E0C">
      <w:pPr>
        <w:spacing w:after="120"/>
        <w:jc w:val="both"/>
        <w:rPr>
          <w:sz w:val="22"/>
          <w:szCs w:val="22"/>
        </w:rPr>
      </w:pPr>
      <w:r w:rsidRPr="00AD58B7">
        <w:rPr>
          <w:b/>
          <w:sz w:val="22"/>
          <w:szCs w:val="22"/>
        </w:rPr>
        <w:t xml:space="preserve">1.47 Програма Кредитування </w:t>
      </w:r>
      <w:r w:rsidRPr="00AD58B7">
        <w:rPr>
          <w:sz w:val="22"/>
          <w:szCs w:val="22"/>
        </w:rPr>
        <w:t>– затверджений уповноваженим колегіальним органом Банку перелік параметрів Кредиту, в тому числі у вигляді Паспорту банківського продукту,  щодо умов надання, супроводження та повернення Кредиту у формі Дозволеного овердрафту, який, разом з цими Правилами, повною мірою визначає всі достатні умови банківського кредитного Продукту з використанням Карток.</w:t>
      </w:r>
    </w:p>
    <w:p w:rsidR="00992E0C" w:rsidRPr="00AD58B7" w:rsidRDefault="00992E0C" w:rsidP="00992E0C">
      <w:pPr>
        <w:spacing w:after="120"/>
        <w:jc w:val="both"/>
        <w:rPr>
          <w:sz w:val="22"/>
          <w:szCs w:val="22"/>
          <w:lang w:val="ru-RU"/>
        </w:rPr>
      </w:pPr>
      <w:r w:rsidRPr="00AD58B7">
        <w:rPr>
          <w:b/>
          <w:sz w:val="22"/>
          <w:szCs w:val="22"/>
        </w:rPr>
        <w:t>1.48</w:t>
      </w:r>
      <w:r w:rsidRPr="00AD58B7">
        <w:rPr>
          <w:b/>
          <w:sz w:val="22"/>
          <w:szCs w:val="22"/>
        </w:rPr>
        <w:tab/>
        <w:t xml:space="preserve">Продуктова картка </w:t>
      </w:r>
      <w:r w:rsidRPr="00AD58B7">
        <w:rPr>
          <w:sz w:val="22"/>
          <w:szCs w:val="22"/>
        </w:rPr>
        <w:t>– Картка (Основна або Додаткова), операції та надання послуг за якою здійснюються на умовах затвердженого Продукту/Пакету з урахуванням цільового  використання коштів. Банком затверджені, зокрема,  такі Продуктові картки (відповідно до Продуктів/Пакетів, визначених Тарифними планами):</w:t>
      </w:r>
    </w:p>
    <w:p w:rsidR="00DA62BB" w:rsidRPr="00AD58B7" w:rsidRDefault="00DA62BB" w:rsidP="00992E0C">
      <w:pPr>
        <w:spacing w:after="120"/>
        <w:jc w:val="both"/>
        <w:rPr>
          <w:b/>
          <w:sz w:val="22"/>
          <w:szCs w:val="22"/>
        </w:rPr>
      </w:pPr>
      <w:r w:rsidRPr="00AD58B7">
        <w:rPr>
          <w:sz w:val="22"/>
          <w:szCs w:val="22"/>
        </w:rPr>
        <w:t>Без змін…</w:t>
      </w:r>
    </w:p>
    <w:p w:rsidR="00992E0C" w:rsidRPr="00AD58B7" w:rsidRDefault="00992E0C" w:rsidP="00992E0C">
      <w:pPr>
        <w:spacing w:after="120"/>
        <w:jc w:val="both"/>
        <w:rPr>
          <w:sz w:val="22"/>
          <w:szCs w:val="22"/>
        </w:rPr>
      </w:pPr>
      <w:r w:rsidRPr="00AD58B7">
        <w:rPr>
          <w:b/>
          <w:sz w:val="22"/>
          <w:szCs w:val="22"/>
        </w:rPr>
        <w:t xml:space="preserve">Універсальна Картка </w:t>
      </w:r>
      <w:r w:rsidRPr="00AD58B7">
        <w:rPr>
          <w:sz w:val="22"/>
          <w:szCs w:val="22"/>
        </w:rPr>
        <w:t>– Картка, за допомогою якої Клієнт здійснює операції на умовах, визначених Пакетом: має можливість вільного поповнення та використання коштів, їх накопичення, отримувати проценти на залишки коштів на відповідному Субрахунку на спеціальних умовах, що передбачають використання Базової процентної ставки та підвищеної процентної ставки, розмір та строки дії яких визначається окремим Тарифним планом, а також користуватися Кредитом у формі Дозволеного овердрафту на умовах Програми кредитування, передбаченої для Пакету;</w:t>
      </w:r>
    </w:p>
    <w:p w:rsidR="00992E0C" w:rsidRPr="00543568" w:rsidRDefault="00992E0C" w:rsidP="00992E0C">
      <w:pPr>
        <w:spacing w:after="120"/>
        <w:jc w:val="both"/>
        <w:rPr>
          <w:sz w:val="22"/>
          <w:szCs w:val="22"/>
        </w:rPr>
      </w:pPr>
      <w:r w:rsidRPr="00AD58B7">
        <w:rPr>
          <w:b/>
          <w:sz w:val="22"/>
          <w:szCs w:val="22"/>
        </w:rPr>
        <w:t xml:space="preserve">1.49 Пов’язані особи – </w:t>
      </w:r>
      <w:r w:rsidRPr="00AD58B7">
        <w:rPr>
          <w:sz w:val="22"/>
          <w:szCs w:val="22"/>
        </w:rPr>
        <w:t xml:space="preserve">це юридичні та/або фізичні особи, відносини між якими можуть впливати на умови чи економічні результати їх діяльності чи діяльності осіб, яких вони представляють. </w:t>
      </w:r>
      <w:r w:rsidR="001B1FA6" w:rsidRPr="00171FB2">
        <w:rPr>
          <w:sz w:val="24"/>
          <w:szCs w:val="24"/>
        </w:rPr>
        <w:t>Пов’язаними</w:t>
      </w:r>
      <w:r w:rsidR="001B1FA6" w:rsidRPr="004C39E7">
        <w:t xml:space="preserve"> </w:t>
      </w:r>
      <w:r w:rsidR="001B1FA6" w:rsidRPr="00673382">
        <w:rPr>
          <w:sz w:val="24"/>
          <w:szCs w:val="24"/>
        </w:rPr>
        <w:t>фізичними особами</w:t>
      </w:r>
      <w:r w:rsidR="001B1FA6" w:rsidRPr="00171FB2">
        <w:rPr>
          <w:sz w:val="24"/>
          <w:szCs w:val="24"/>
        </w:rPr>
        <w:t xml:space="preserve"> </w:t>
      </w:r>
      <w:r w:rsidR="001B1FA6">
        <w:rPr>
          <w:sz w:val="24"/>
          <w:szCs w:val="24"/>
        </w:rPr>
        <w:t>по відношенню до</w:t>
      </w:r>
      <w:r w:rsidRPr="00AD58B7">
        <w:rPr>
          <w:sz w:val="22"/>
          <w:szCs w:val="22"/>
        </w:rPr>
        <w:t xml:space="preserve"> АБ «УКРГАЗБАНК» </w:t>
      </w:r>
      <w:r w:rsidR="00653793">
        <w:rPr>
          <w:sz w:val="22"/>
          <w:szCs w:val="22"/>
        </w:rPr>
        <w:t xml:space="preserve">фізичними </w:t>
      </w:r>
      <w:r w:rsidRPr="00AD58B7">
        <w:rPr>
          <w:sz w:val="22"/>
          <w:szCs w:val="22"/>
        </w:rPr>
        <w:t>особами відповідно норм Податкового кодексу України є посадові особи АБ «УКРГАЗБАНК» (Голова Правління Банку та його заступники,</w:t>
      </w:r>
      <w:r w:rsidR="001B1FA6" w:rsidRPr="001B1FA6">
        <w:rPr>
          <w:sz w:val="22"/>
          <w:szCs w:val="22"/>
        </w:rPr>
        <w:t xml:space="preserve"> </w:t>
      </w:r>
      <w:r w:rsidR="001B1FA6">
        <w:rPr>
          <w:sz w:val="22"/>
          <w:szCs w:val="22"/>
        </w:rPr>
        <w:t>Головний бухгалтер,</w:t>
      </w:r>
      <w:r w:rsidRPr="00AD58B7">
        <w:rPr>
          <w:sz w:val="22"/>
          <w:szCs w:val="22"/>
        </w:rPr>
        <w:t xml:space="preserve"> Члени Правління Банку, Голова та члени Наглядової  ради Банку), а також члени родини перерахованих посадових осіб (чоловік (дружина), батьки (у тому числі </w:t>
      </w:r>
      <w:proofErr w:type="spellStart"/>
      <w:r w:rsidRPr="00AD58B7">
        <w:rPr>
          <w:sz w:val="22"/>
          <w:szCs w:val="22"/>
        </w:rPr>
        <w:t>усиновлювачі</w:t>
      </w:r>
      <w:proofErr w:type="spellEnd"/>
      <w:r w:rsidRPr="00AD58B7">
        <w:rPr>
          <w:sz w:val="22"/>
          <w:szCs w:val="22"/>
        </w:rPr>
        <w:t xml:space="preserve">), діти (повнолітні/неповнолітні, у тому числі усиновлені), </w:t>
      </w:r>
      <w:proofErr w:type="spellStart"/>
      <w:r w:rsidRPr="00AD58B7">
        <w:rPr>
          <w:sz w:val="22"/>
          <w:szCs w:val="22"/>
        </w:rPr>
        <w:t>повнорідні</w:t>
      </w:r>
      <w:proofErr w:type="spellEnd"/>
      <w:r w:rsidRPr="00AD58B7">
        <w:rPr>
          <w:sz w:val="22"/>
          <w:szCs w:val="22"/>
        </w:rPr>
        <w:t xml:space="preserve"> та </w:t>
      </w:r>
      <w:proofErr w:type="spellStart"/>
      <w:r w:rsidRPr="00AD58B7">
        <w:rPr>
          <w:sz w:val="22"/>
          <w:szCs w:val="22"/>
        </w:rPr>
        <w:t>неповнорідні</w:t>
      </w:r>
      <w:proofErr w:type="spellEnd"/>
      <w:r w:rsidRPr="00AD58B7">
        <w:rPr>
          <w:sz w:val="22"/>
          <w:szCs w:val="22"/>
        </w:rPr>
        <w:t xml:space="preserve"> брати і сестри, опікун, піклувальник, дитина, над якою встановлено опіку чи піклування.</w:t>
      </w:r>
      <w:r w:rsidR="00543568">
        <w:rPr>
          <w:sz w:val="22"/>
          <w:szCs w:val="22"/>
        </w:rPr>
        <w:t xml:space="preserve">  </w:t>
      </w:r>
    </w:p>
    <w:p w:rsidR="00992E0C" w:rsidRPr="009E378A" w:rsidRDefault="00992E0C" w:rsidP="00992E0C">
      <w:pPr>
        <w:spacing w:after="120"/>
        <w:jc w:val="both"/>
        <w:rPr>
          <w:sz w:val="22"/>
          <w:szCs w:val="22"/>
          <w:lang w:val="ru-RU"/>
        </w:rPr>
      </w:pPr>
      <w:r w:rsidRPr="00AD58B7">
        <w:rPr>
          <w:sz w:val="22"/>
          <w:szCs w:val="22"/>
        </w:rPr>
        <w:t>3.1 Договір вважається укладеним, якщо Клієнт належним чином заповнив та підписав Заяву-Договір, а Банк прийняв таку Заяву-Договір без зауважень та відкрив Рахунок і Субрахунок. Банк зобов’язаний надати Клієнту примірник Заяви-Договору.</w:t>
      </w:r>
    </w:p>
    <w:p w:rsidR="009E378A" w:rsidRPr="002814A8" w:rsidRDefault="009E378A" w:rsidP="00992E0C">
      <w:pPr>
        <w:spacing w:after="120"/>
        <w:jc w:val="both"/>
        <w:rPr>
          <w:sz w:val="22"/>
          <w:szCs w:val="22"/>
        </w:rPr>
      </w:pPr>
      <w:r>
        <w:rPr>
          <w:sz w:val="24"/>
          <w:szCs w:val="24"/>
        </w:rPr>
        <w:t>4.2.</w:t>
      </w:r>
      <w:r w:rsidR="008011C3">
        <w:rPr>
          <w:sz w:val="24"/>
          <w:szCs w:val="24"/>
        </w:rPr>
        <w:t>3</w:t>
      </w:r>
      <w:r>
        <w:rPr>
          <w:sz w:val="24"/>
          <w:szCs w:val="24"/>
        </w:rPr>
        <w:t xml:space="preserve"> </w:t>
      </w:r>
      <w:r w:rsidR="008011C3" w:rsidRPr="00025DCC">
        <w:rPr>
          <w:sz w:val="24"/>
          <w:szCs w:val="24"/>
        </w:rPr>
        <w:t>Банк має право контролювати ризики, пов’язані з наданням послуг кредитування Клієнту. З цією метою Клієнт відповідно до чинного законодавства України надає Банку згоду на передачу, збір, зберігання, використання та поширення інформації про себе, через будь-яке бюро кредитних історій та Кредитний реєстр НБУ.  Позичальник надає згоду на доступ до його кредитної історії та отримання Банком інформації в повному обсязі, що складає кредитну історію Клієнта у будь-якому бюро кредитних історій. Інформація про назву та адресу бюро кредитних історій, до яких Банком передається інформація для формування кредитної історії Клієнта, розміщена на Сайті Банка</w:t>
      </w:r>
      <w:r w:rsidR="008011C3">
        <w:rPr>
          <w:sz w:val="24"/>
          <w:szCs w:val="24"/>
        </w:rPr>
        <w:t>;</w:t>
      </w:r>
      <w:r>
        <w:rPr>
          <w:sz w:val="24"/>
          <w:szCs w:val="24"/>
        </w:rPr>
        <w:t>»</w:t>
      </w:r>
    </w:p>
    <w:p w:rsidR="00992E0C" w:rsidRPr="00AD58B7" w:rsidRDefault="00992E0C" w:rsidP="00992E0C">
      <w:pPr>
        <w:spacing w:after="120"/>
        <w:jc w:val="both"/>
        <w:rPr>
          <w:sz w:val="22"/>
          <w:szCs w:val="22"/>
        </w:rPr>
      </w:pPr>
      <w:r w:rsidRPr="00AD58B7">
        <w:rPr>
          <w:sz w:val="22"/>
          <w:szCs w:val="22"/>
        </w:rPr>
        <w:t>6.6</w:t>
      </w:r>
      <w:r w:rsidRPr="00AD58B7">
        <w:rPr>
          <w:sz w:val="22"/>
          <w:szCs w:val="22"/>
        </w:rPr>
        <w:tab/>
        <w:t xml:space="preserve">Банк може прийняти від Клієнта Заяву-Договір без попереднього оформлення останнім заяви про замовлення кредитного Продукту у порядку, визначеному пунктом </w:t>
      </w:r>
      <w:r w:rsidRPr="00AD58B7">
        <w:rPr>
          <w:sz w:val="22"/>
          <w:szCs w:val="22"/>
        </w:rPr>
        <w:fldChar w:fldCharType="begin"/>
      </w:r>
      <w:r w:rsidRPr="00AD58B7">
        <w:rPr>
          <w:sz w:val="22"/>
          <w:szCs w:val="22"/>
        </w:rPr>
        <w:instrText xml:space="preserve"> REF _Ref469998925 \r \h  \* MERGEFORMAT </w:instrText>
      </w:r>
      <w:r w:rsidRPr="00AD58B7">
        <w:rPr>
          <w:sz w:val="22"/>
          <w:szCs w:val="22"/>
        </w:rPr>
      </w:r>
      <w:r w:rsidRPr="00AD58B7">
        <w:rPr>
          <w:sz w:val="22"/>
          <w:szCs w:val="22"/>
        </w:rPr>
        <w:fldChar w:fldCharType="separate"/>
      </w:r>
      <w:r w:rsidRPr="00AD58B7">
        <w:rPr>
          <w:sz w:val="22"/>
          <w:szCs w:val="22"/>
        </w:rPr>
        <w:t>6.2</w:t>
      </w:r>
      <w:r w:rsidRPr="00AD58B7">
        <w:rPr>
          <w:sz w:val="22"/>
          <w:szCs w:val="22"/>
        </w:rPr>
        <w:fldChar w:fldCharType="end"/>
      </w:r>
      <w:r w:rsidRPr="00AD58B7">
        <w:rPr>
          <w:sz w:val="22"/>
          <w:szCs w:val="22"/>
        </w:rPr>
        <w:t xml:space="preserve"> цих Правил, у разі, якщо кредитним Продуктом передбачена така можливість. У цьому випадку надання Кредиту здійснюється у наступному порядку:</w:t>
      </w:r>
    </w:p>
    <w:p w:rsidR="00992E0C" w:rsidRPr="00AD58B7" w:rsidRDefault="00992E0C" w:rsidP="00992E0C">
      <w:pPr>
        <w:pStyle w:val="a3"/>
        <w:numPr>
          <w:ilvl w:val="2"/>
          <w:numId w:val="3"/>
        </w:numPr>
        <w:spacing w:after="120"/>
        <w:jc w:val="both"/>
        <w:rPr>
          <w:sz w:val="22"/>
          <w:szCs w:val="22"/>
        </w:rPr>
      </w:pPr>
      <w:r w:rsidRPr="00AD58B7">
        <w:rPr>
          <w:sz w:val="22"/>
          <w:szCs w:val="22"/>
        </w:rPr>
        <w:t xml:space="preserve">Банк приймає від Клієнта Заяву-Договір, в якій зазначається: початковий розмір Ліміту Дозволеного овердрафту; максимальний розмір Ліміту Дозволеного овердрафту та строк кредитування - на рівні, визначеному відповідною Програмою кредитування; діюча для відповідного кредитного Продукту на момент підписання Заяви-Договору процентна ставка. </w:t>
      </w:r>
    </w:p>
    <w:p w:rsidR="00992E0C" w:rsidRPr="00AD58B7" w:rsidRDefault="00992E0C" w:rsidP="00992E0C">
      <w:pPr>
        <w:pStyle w:val="a3"/>
        <w:numPr>
          <w:ilvl w:val="2"/>
          <w:numId w:val="3"/>
        </w:numPr>
        <w:spacing w:after="120"/>
        <w:jc w:val="both"/>
        <w:rPr>
          <w:sz w:val="22"/>
          <w:szCs w:val="22"/>
        </w:rPr>
      </w:pPr>
      <w:r w:rsidRPr="00AD58B7">
        <w:rPr>
          <w:sz w:val="22"/>
          <w:szCs w:val="22"/>
        </w:rPr>
        <w:t xml:space="preserve">Банк проводить заходи щодо оцінки кредитоспроможності Клієнта згідно з вимогами законодавства, яке регулює відносини у сфері споживчого кредитування, та у разі прийняття рішення щодо видачі кредиту встановлює: розмір Ліміту Дозволеного овердрафту відповідно до внутрішніх правил управління ризиками, у порядку, визначеному цим розділом Правил; процентну ставку – у розмірі, що діє для відповідного кредитного Продукту на день встановлення розміру Ліміту Дозволеного овердрафту; строк кредитування – відповідно до строку, передбаченого для відповідного кредитного Продукту, починаючи з дня встановлення розміру Ліміту Дозволеного овердрафту, повідомляючи про це Клієнта шляхом направлення відповідного </w:t>
      </w:r>
      <w:r w:rsidRPr="00AD58B7">
        <w:rPr>
          <w:sz w:val="22"/>
          <w:szCs w:val="22"/>
          <w:lang w:val="en-US"/>
        </w:rPr>
        <w:t>SMS</w:t>
      </w:r>
      <w:proofErr w:type="spellStart"/>
      <w:r w:rsidRPr="00AD58B7">
        <w:rPr>
          <w:sz w:val="22"/>
          <w:szCs w:val="22"/>
        </w:rPr>
        <w:t>-повідомлення</w:t>
      </w:r>
      <w:proofErr w:type="spellEnd"/>
      <w:r w:rsidRPr="00AD58B7">
        <w:rPr>
          <w:sz w:val="22"/>
          <w:szCs w:val="22"/>
        </w:rPr>
        <w:t>;</w:t>
      </w:r>
    </w:p>
    <w:p w:rsidR="00992E0C" w:rsidRPr="00AD58B7" w:rsidRDefault="00992E0C" w:rsidP="00992E0C">
      <w:pPr>
        <w:pStyle w:val="a3"/>
        <w:numPr>
          <w:ilvl w:val="2"/>
          <w:numId w:val="3"/>
        </w:numPr>
        <w:spacing w:after="120"/>
        <w:jc w:val="both"/>
        <w:rPr>
          <w:sz w:val="22"/>
          <w:szCs w:val="22"/>
        </w:rPr>
      </w:pPr>
      <w:r w:rsidRPr="00AD58B7">
        <w:rPr>
          <w:sz w:val="22"/>
          <w:szCs w:val="22"/>
        </w:rPr>
        <w:t>Клієнт підтверджує, що визначений пп. 6.6.1. та 6.6.2. п. 6.6. Правил порядок надання кредиту здійснюється за згодою Сторін та відповідно до вимог чинного законодавства України, яке регулює відносини у сфері споживчого кредитування та не потребує надання до відділення Банку окремої Заяви-Договору чи внесення змін до Заяви-Договору, передбаченої пп. 6.6.1. Правил.</w:t>
      </w:r>
    </w:p>
    <w:p w:rsidR="00992E0C" w:rsidRPr="00AD58B7" w:rsidRDefault="00992E0C" w:rsidP="00992E0C">
      <w:pPr>
        <w:numPr>
          <w:ilvl w:val="2"/>
          <w:numId w:val="3"/>
        </w:numPr>
        <w:spacing w:after="120"/>
        <w:jc w:val="both"/>
        <w:rPr>
          <w:sz w:val="22"/>
          <w:szCs w:val="22"/>
        </w:rPr>
      </w:pPr>
      <w:r w:rsidRPr="00AD58B7">
        <w:rPr>
          <w:sz w:val="22"/>
          <w:szCs w:val="22"/>
        </w:rPr>
        <w:t>Клієнт має право відмовитися від користування Кредитом у порядку, передбаченому цими Правилами.</w:t>
      </w:r>
    </w:p>
    <w:p w:rsidR="00992E0C" w:rsidRPr="00AD58B7" w:rsidRDefault="00992E0C" w:rsidP="00992E0C">
      <w:pPr>
        <w:spacing w:after="120"/>
        <w:jc w:val="both"/>
        <w:rPr>
          <w:sz w:val="22"/>
          <w:szCs w:val="22"/>
        </w:rPr>
      </w:pPr>
      <w:r w:rsidRPr="00AD58B7">
        <w:rPr>
          <w:sz w:val="22"/>
          <w:szCs w:val="22"/>
        </w:rPr>
        <w:t>6.22</w:t>
      </w:r>
      <w:r w:rsidRPr="00AD58B7">
        <w:rPr>
          <w:sz w:val="22"/>
          <w:szCs w:val="22"/>
        </w:rPr>
        <w:tab/>
        <w:t>Окремими видами Програм кредитування, може бути визначено обов’язковою умовою обслуговування обраного Продукту страхування життя Клієнта, з врахуванням наступних умов:</w:t>
      </w:r>
    </w:p>
    <w:p w:rsidR="00C941ED" w:rsidRPr="00AD58B7" w:rsidRDefault="00992E0C" w:rsidP="00992E0C">
      <w:pPr>
        <w:spacing w:after="120"/>
        <w:ind w:left="708"/>
        <w:jc w:val="both"/>
        <w:rPr>
          <w:sz w:val="22"/>
          <w:szCs w:val="22"/>
        </w:rPr>
      </w:pPr>
      <w:r w:rsidRPr="00AD58B7">
        <w:rPr>
          <w:sz w:val="22"/>
          <w:szCs w:val="22"/>
        </w:rPr>
        <w:t>6.22.1</w:t>
      </w:r>
      <w:r w:rsidRPr="00AD58B7">
        <w:rPr>
          <w:sz w:val="22"/>
          <w:szCs w:val="22"/>
        </w:rPr>
        <w:tab/>
      </w:r>
      <w:r w:rsidR="00C941ED" w:rsidRPr="00AD58B7">
        <w:rPr>
          <w:sz w:val="22"/>
          <w:szCs w:val="22"/>
        </w:rPr>
        <w:t xml:space="preserve">Клієнт доручає Банку укласти від його імені договір добровільного страхування життя для забезпечення виконання Клієнтом зобов'язань за Кредитом. Клієнт може самостійно укласти договір добровільного страхування життя під час замовлення Клієнтом </w:t>
      </w:r>
      <w:r w:rsidR="00B0686E" w:rsidRPr="00AD58B7">
        <w:rPr>
          <w:sz w:val="22"/>
          <w:szCs w:val="22"/>
        </w:rPr>
        <w:t>Продукту Банку, який передбачає необхідність укладення такого договору.</w:t>
      </w:r>
    </w:p>
    <w:p w:rsidR="00992E0C" w:rsidRPr="00AD58B7" w:rsidRDefault="00C941ED" w:rsidP="00992E0C">
      <w:pPr>
        <w:spacing w:after="120"/>
        <w:ind w:left="708"/>
        <w:jc w:val="both"/>
        <w:rPr>
          <w:sz w:val="22"/>
          <w:szCs w:val="22"/>
        </w:rPr>
      </w:pPr>
      <w:r w:rsidRPr="001E20C4">
        <w:rPr>
          <w:sz w:val="22"/>
          <w:szCs w:val="22"/>
        </w:rPr>
        <w:t xml:space="preserve">6.22.2. </w:t>
      </w:r>
      <w:r w:rsidR="00992E0C" w:rsidRPr="001E20C4">
        <w:rPr>
          <w:sz w:val="22"/>
          <w:szCs w:val="22"/>
        </w:rPr>
        <w:t>Клієнт</w:t>
      </w:r>
      <w:r w:rsidRPr="001E20C4">
        <w:rPr>
          <w:sz w:val="22"/>
          <w:szCs w:val="22"/>
        </w:rPr>
        <w:t xml:space="preserve"> </w:t>
      </w:r>
      <w:r w:rsidR="00992E0C" w:rsidRPr="001E20C4">
        <w:rPr>
          <w:sz w:val="22"/>
          <w:szCs w:val="22"/>
        </w:rPr>
        <w:t>доручає</w:t>
      </w:r>
      <w:r w:rsidR="00992E0C" w:rsidRPr="00AD58B7">
        <w:rPr>
          <w:sz w:val="22"/>
          <w:szCs w:val="22"/>
        </w:rPr>
        <w:t xml:space="preserve"> Банку здійснювати договірне списання з Рахунку сум страхових платежів на користь страховика у розмірах та у строки, що визначені відповідним договором добровільного страхування життя</w:t>
      </w:r>
      <w:r w:rsidRPr="00AD58B7">
        <w:rPr>
          <w:sz w:val="22"/>
          <w:szCs w:val="22"/>
        </w:rPr>
        <w:t>,</w:t>
      </w:r>
    </w:p>
    <w:p w:rsidR="00992E0C" w:rsidRPr="00AD58B7" w:rsidRDefault="00992E0C" w:rsidP="00992E0C">
      <w:pPr>
        <w:spacing w:after="120"/>
        <w:ind w:left="720"/>
        <w:jc w:val="both"/>
        <w:rPr>
          <w:sz w:val="22"/>
          <w:szCs w:val="22"/>
        </w:rPr>
      </w:pPr>
      <w:r w:rsidRPr="00AD58B7">
        <w:rPr>
          <w:sz w:val="22"/>
          <w:szCs w:val="22"/>
        </w:rPr>
        <w:t>6.22.</w:t>
      </w:r>
      <w:r w:rsidR="00C941ED" w:rsidRPr="00AD58B7">
        <w:rPr>
          <w:sz w:val="22"/>
          <w:szCs w:val="22"/>
        </w:rPr>
        <w:t>3</w:t>
      </w:r>
      <w:r w:rsidRPr="00AD58B7">
        <w:rPr>
          <w:sz w:val="22"/>
          <w:szCs w:val="22"/>
        </w:rPr>
        <w:t xml:space="preserve"> </w:t>
      </w:r>
      <w:proofErr w:type="spellStart"/>
      <w:r w:rsidR="001E20C4">
        <w:rPr>
          <w:sz w:val="22"/>
          <w:szCs w:val="22"/>
        </w:rPr>
        <w:t>В</w:t>
      </w:r>
      <w:r w:rsidRPr="00AD58B7">
        <w:rPr>
          <w:sz w:val="22"/>
          <w:szCs w:val="22"/>
        </w:rPr>
        <w:t>игодонабувачем</w:t>
      </w:r>
      <w:proofErr w:type="spellEnd"/>
      <w:r w:rsidRPr="00AD58B7">
        <w:rPr>
          <w:sz w:val="22"/>
          <w:szCs w:val="22"/>
        </w:rPr>
        <w:t>, за договором добровільного страхування життя, є Банк в розмірі заборгованості Клієнта перед Банком в межах страхової суми на оплачений період страхування.</w:t>
      </w:r>
    </w:p>
    <w:p w:rsidR="00992E0C" w:rsidRPr="00AD58B7" w:rsidRDefault="00992E0C" w:rsidP="00992E0C">
      <w:pPr>
        <w:spacing w:after="120"/>
        <w:ind w:left="720"/>
        <w:jc w:val="both"/>
        <w:rPr>
          <w:sz w:val="22"/>
          <w:szCs w:val="22"/>
        </w:rPr>
      </w:pPr>
      <w:r w:rsidRPr="00AD58B7">
        <w:rPr>
          <w:sz w:val="22"/>
          <w:szCs w:val="22"/>
        </w:rPr>
        <w:t>6.22.</w:t>
      </w:r>
      <w:r w:rsidR="00C941ED" w:rsidRPr="00AD58B7">
        <w:rPr>
          <w:sz w:val="22"/>
          <w:szCs w:val="22"/>
        </w:rPr>
        <w:t>4</w:t>
      </w:r>
      <w:r w:rsidRPr="00AD58B7">
        <w:rPr>
          <w:sz w:val="22"/>
          <w:szCs w:val="22"/>
        </w:rPr>
        <w:t xml:space="preserve"> </w:t>
      </w:r>
      <w:r w:rsidR="004D4533">
        <w:rPr>
          <w:sz w:val="24"/>
          <w:szCs w:val="24"/>
        </w:rPr>
        <w:t>Грошові кошти, які надішли від страховика за договором добровільного страхування життя, та були перераховані як сума страхової виплати/страхового відшкодування внаслідок настання страхового випадку на Рахунок/Субрахунок Клієнта, перераховуються Банком, в день надходження таких грошових коштів, на виконання грошових зобов’язань Клієнта перед Банком.</w:t>
      </w:r>
    </w:p>
    <w:p w:rsidR="00DA62BB" w:rsidRPr="00AD58B7" w:rsidRDefault="00DA62BB" w:rsidP="00DA62BB">
      <w:pPr>
        <w:spacing w:line="276" w:lineRule="auto"/>
        <w:jc w:val="both"/>
        <w:rPr>
          <w:sz w:val="22"/>
          <w:szCs w:val="22"/>
        </w:rPr>
      </w:pPr>
      <w:r w:rsidRPr="00AD58B7">
        <w:rPr>
          <w:sz w:val="22"/>
          <w:szCs w:val="22"/>
        </w:rPr>
        <w:t xml:space="preserve">12.4.9 При обслуговуванні операцій по Рахунку, виконаних з використанням Продуктових карток, застосовуються тарифи, передбачені відповідним Тарифним планом для відповідного Продукту. При розрахунках за операцією, виконаною з використанням </w:t>
      </w:r>
      <w:proofErr w:type="spellStart"/>
      <w:r w:rsidRPr="00AD58B7">
        <w:rPr>
          <w:sz w:val="22"/>
          <w:szCs w:val="22"/>
        </w:rPr>
        <w:t>Смарт-картки</w:t>
      </w:r>
      <w:proofErr w:type="spellEnd"/>
      <w:r w:rsidRPr="00AD58B7">
        <w:rPr>
          <w:sz w:val="22"/>
          <w:szCs w:val="22"/>
        </w:rPr>
        <w:t xml:space="preserve">, що об’єднує кілька Продуктів, застосовуються тарифи, передбачені відповідними Продуктами, приєднаними до </w:t>
      </w:r>
      <w:proofErr w:type="spellStart"/>
      <w:r w:rsidRPr="00AD58B7">
        <w:rPr>
          <w:sz w:val="22"/>
          <w:szCs w:val="22"/>
        </w:rPr>
        <w:t>Смарт-картки</w:t>
      </w:r>
      <w:proofErr w:type="spellEnd"/>
      <w:r w:rsidRPr="00AD58B7">
        <w:rPr>
          <w:sz w:val="22"/>
          <w:szCs w:val="22"/>
        </w:rPr>
        <w:t>, з урахуванням визначеної вище черговості списання коштів. Якщо сума однієї платіжної операції розбивається на кілька частин для відображення в обліку за кількома Субрахунками Продуктів (через недостатність коштів на першій Продуктовій картці), до кожної із таких частин суми операції застосовуються окремі розміри тарифів згідно з відповідними Тарифними планами.</w:t>
      </w:r>
    </w:p>
    <w:p w:rsidR="009D6D8E" w:rsidRPr="009D6D8E" w:rsidRDefault="00DA62BB" w:rsidP="00DA62BB">
      <w:pPr>
        <w:spacing w:after="120"/>
        <w:jc w:val="both"/>
        <w:rPr>
          <w:sz w:val="22"/>
          <w:szCs w:val="22"/>
        </w:rPr>
      </w:pPr>
      <w:r w:rsidRPr="00AD58B7">
        <w:rPr>
          <w:sz w:val="22"/>
          <w:szCs w:val="22"/>
        </w:rPr>
        <w:t xml:space="preserve">(Наприклад, при видачі готівки її сума перевищила залишок власних коштів на Зарплатній картці, тому частина коштів, якої бракувало на Зарплатній картці, списана з Універсальної Картки. При цьому, по відношенню до частини коштів Зарплатної картки застосовується одне значення тарифу (наприклад, </w:t>
      </w:r>
      <w:r w:rsidR="00344B7A" w:rsidRPr="00D40B14">
        <w:rPr>
          <w:sz w:val="22"/>
          <w:szCs w:val="22"/>
          <w:lang w:val="ru-RU"/>
        </w:rPr>
        <w:t>1</w:t>
      </w:r>
      <w:r w:rsidRPr="00AD58B7">
        <w:rPr>
          <w:sz w:val="22"/>
          <w:szCs w:val="22"/>
        </w:rPr>
        <w:t>%), а до частини коштів Універсальної Картки - інше значення (наприклад, 0,5%). Суми комісії, розраховані окремо до кожної з цих частин платіжної операції, об’єднуються і загальна сума комісії утримується з Універсальної Картки, тобто, з Картки, на якій достатньо для цього коштів).</w:t>
      </w:r>
    </w:p>
    <w:p w:rsidR="00DA62BB" w:rsidRPr="00AD58B7" w:rsidRDefault="00B0686E" w:rsidP="00DA62BB">
      <w:pPr>
        <w:spacing w:after="120"/>
        <w:jc w:val="both"/>
        <w:rPr>
          <w:sz w:val="22"/>
          <w:szCs w:val="22"/>
        </w:rPr>
      </w:pPr>
      <w:r w:rsidRPr="00AD58B7">
        <w:rPr>
          <w:sz w:val="22"/>
          <w:szCs w:val="22"/>
        </w:rPr>
        <w:t xml:space="preserve">Зазначені у цій Пропозиції зміни та доповнення до Правил набирають чинності з </w:t>
      </w:r>
      <w:r w:rsidR="009262DC">
        <w:rPr>
          <w:sz w:val="22"/>
          <w:szCs w:val="22"/>
        </w:rPr>
        <w:t>01.04.2018</w:t>
      </w:r>
      <w:r w:rsidRPr="00AD58B7">
        <w:rPr>
          <w:sz w:val="22"/>
          <w:szCs w:val="22"/>
        </w:rPr>
        <w:t xml:space="preserve"> року</w:t>
      </w:r>
    </w:p>
    <w:p w:rsidR="00B0686E" w:rsidRPr="00AD58B7" w:rsidRDefault="00B0686E" w:rsidP="00B0686E">
      <w:pPr>
        <w:spacing w:after="120"/>
        <w:jc w:val="both"/>
        <w:rPr>
          <w:sz w:val="22"/>
          <w:szCs w:val="22"/>
        </w:rPr>
      </w:pPr>
      <w:r w:rsidRPr="00B26835">
        <w:rPr>
          <w:bCs/>
          <w:iCs/>
          <w:sz w:val="22"/>
          <w:szCs w:val="22"/>
        </w:rPr>
        <w:t xml:space="preserve">У зв’язку із зазначеними змінами, </w:t>
      </w:r>
      <w:r w:rsidR="00B26835">
        <w:rPr>
          <w:bCs/>
          <w:iCs/>
          <w:sz w:val="22"/>
          <w:szCs w:val="22"/>
        </w:rPr>
        <w:t xml:space="preserve">на Клієнтів, які станом на </w:t>
      </w:r>
      <w:r w:rsidR="009262DC">
        <w:rPr>
          <w:bCs/>
          <w:iCs/>
          <w:sz w:val="22"/>
          <w:szCs w:val="22"/>
        </w:rPr>
        <w:t>01.04.2018 року</w:t>
      </w:r>
      <w:r w:rsidR="00B26835">
        <w:rPr>
          <w:bCs/>
          <w:iCs/>
          <w:sz w:val="22"/>
          <w:szCs w:val="22"/>
        </w:rPr>
        <w:t xml:space="preserve"> користуються Продуктом Банку – Універсальна картка «Домовичок»</w:t>
      </w:r>
      <w:r w:rsidR="00CA667E">
        <w:rPr>
          <w:bCs/>
          <w:iCs/>
          <w:sz w:val="22"/>
          <w:szCs w:val="22"/>
        </w:rPr>
        <w:t>,</w:t>
      </w:r>
      <w:r w:rsidR="00B26835">
        <w:rPr>
          <w:bCs/>
          <w:iCs/>
          <w:sz w:val="22"/>
          <w:szCs w:val="22"/>
        </w:rPr>
        <w:t xml:space="preserve"> поширюватимуться вимоги, передбачені п. 6.22. Правил. </w:t>
      </w:r>
    </w:p>
    <w:p w:rsidR="00B26835" w:rsidRPr="00B26835" w:rsidRDefault="00B26835" w:rsidP="00B26835">
      <w:pPr>
        <w:autoSpaceDE w:val="0"/>
        <w:autoSpaceDN w:val="0"/>
        <w:adjustRightInd w:val="0"/>
        <w:spacing w:after="120"/>
        <w:ind w:firstLine="709"/>
        <w:jc w:val="both"/>
        <w:rPr>
          <w:bCs/>
          <w:iCs/>
          <w:sz w:val="22"/>
          <w:szCs w:val="22"/>
        </w:rPr>
      </w:pPr>
      <w:r w:rsidRPr="00B26835">
        <w:rPr>
          <w:bCs/>
          <w:iCs/>
          <w:sz w:val="22"/>
          <w:szCs w:val="22"/>
        </w:rPr>
        <w:t xml:space="preserve">Детальну інформацію щодо вищезазначених змін </w:t>
      </w:r>
      <w:r>
        <w:rPr>
          <w:bCs/>
          <w:iCs/>
          <w:sz w:val="22"/>
          <w:szCs w:val="22"/>
        </w:rPr>
        <w:t xml:space="preserve">та доповнень до Правил </w:t>
      </w:r>
      <w:r w:rsidRPr="00B26835">
        <w:rPr>
          <w:bCs/>
          <w:iCs/>
          <w:sz w:val="22"/>
          <w:szCs w:val="22"/>
        </w:rPr>
        <w:t>можна отримати на дошках оголошень, що розміщені в операційних залах АБ «УКРГАЗБАНК», на WEB-сайті АБ «УКРГАЗБАНК» www.ukrgasbank.com (у розділі «Платіжні картки»), за телефонами Контакт-центру АБ «УКРГАЗБАНК» 0 800 309 000 (безкоштовно зі стаціонарних телефонів в межах України), (044) 494-46-50 або в операційному відділі будь-якого відділення АБ «УКРГАЗБАНК».</w:t>
      </w:r>
    </w:p>
    <w:p w:rsidR="00B26835" w:rsidRPr="00B26835" w:rsidRDefault="00B26835" w:rsidP="00B26835">
      <w:pPr>
        <w:autoSpaceDE w:val="0"/>
        <w:autoSpaceDN w:val="0"/>
        <w:adjustRightInd w:val="0"/>
        <w:spacing w:after="120"/>
        <w:ind w:firstLine="709"/>
        <w:jc w:val="both"/>
        <w:rPr>
          <w:bCs/>
          <w:iCs/>
          <w:sz w:val="22"/>
          <w:szCs w:val="22"/>
        </w:rPr>
      </w:pPr>
      <w:r>
        <w:rPr>
          <w:bCs/>
          <w:iCs/>
          <w:sz w:val="22"/>
          <w:szCs w:val="22"/>
        </w:rPr>
        <w:t>У</w:t>
      </w:r>
      <w:r w:rsidRPr="00B26835">
        <w:rPr>
          <w:bCs/>
          <w:iCs/>
          <w:sz w:val="22"/>
          <w:szCs w:val="22"/>
        </w:rPr>
        <w:t xml:space="preserve"> разі незгоди із доведеними АБ «УКРГАЗБАНК» змінами пропонуємо звернутись до найближчого відділення АБ «УКРГАЗБАНК».</w:t>
      </w:r>
    </w:p>
    <w:p w:rsidR="00992E0C" w:rsidRPr="00B26835" w:rsidRDefault="00992E0C" w:rsidP="00992E0C">
      <w:pPr>
        <w:ind w:firstLine="567"/>
        <w:jc w:val="both"/>
        <w:rPr>
          <w:sz w:val="22"/>
          <w:szCs w:val="22"/>
        </w:rPr>
      </w:pPr>
    </w:p>
    <w:p w:rsidR="00992E0C" w:rsidRPr="00B26835" w:rsidRDefault="00992E0C" w:rsidP="00992E0C">
      <w:pPr>
        <w:ind w:firstLine="540"/>
        <w:rPr>
          <w:sz w:val="22"/>
          <w:szCs w:val="22"/>
        </w:rPr>
      </w:pPr>
    </w:p>
    <w:p w:rsidR="00992E0C" w:rsidRPr="00B26835" w:rsidRDefault="00992E0C" w:rsidP="00992E0C">
      <w:pPr>
        <w:ind w:firstLine="540"/>
        <w:rPr>
          <w:sz w:val="22"/>
          <w:szCs w:val="22"/>
        </w:rPr>
      </w:pPr>
    </w:p>
    <w:tbl>
      <w:tblPr>
        <w:tblW w:w="10598" w:type="dxa"/>
        <w:tblLook w:val="04A0" w:firstRow="1" w:lastRow="0" w:firstColumn="1" w:lastColumn="0" w:noHBand="0" w:noVBand="1"/>
      </w:tblPr>
      <w:tblGrid>
        <w:gridCol w:w="10598"/>
      </w:tblGrid>
      <w:tr w:rsidR="00320813" w:rsidRPr="003477C7" w:rsidTr="006C62F0">
        <w:trPr>
          <w:trHeight w:val="525"/>
        </w:trPr>
        <w:tc>
          <w:tcPr>
            <w:tcW w:w="10598" w:type="dxa"/>
          </w:tcPr>
          <w:p w:rsidR="00320813" w:rsidRPr="003477C7" w:rsidRDefault="00320813" w:rsidP="006C62F0">
            <w:pPr>
              <w:spacing w:before="120"/>
              <w:jc w:val="both"/>
              <w:rPr>
                <w:b/>
                <w:bCs/>
                <w:iCs/>
                <w:sz w:val="24"/>
                <w:szCs w:val="24"/>
              </w:rPr>
            </w:pPr>
            <w:r w:rsidRPr="003477C7">
              <w:rPr>
                <w:sz w:val="24"/>
                <w:szCs w:val="24"/>
              </w:rPr>
              <w:t>Голова засідання                                                                                   О.В. Дубровін</w:t>
            </w:r>
          </w:p>
        </w:tc>
      </w:tr>
    </w:tbl>
    <w:p w:rsidR="00042D2A" w:rsidRPr="00AD58B7" w:rsidRDefault="00042D2A">
      <w:pPr>
        <w:rPr>
          <w:sz w:val="22"/>
          <w:szCs w:val="22"/>
        </w:rPr>
      </w:pPr>
    </w:p>
    <w:sectPr w:rsidR="00042D2A" w:rsidRPr="00AD58B7" w:rsidSect="00BC7DC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BC"/>
    <w:multiLevelType w:val="multilevel"/>
    <w:tmpl w:val="35CAEB4A"/>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
    <w:nsid w:val="23D54E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65F5DDB"/>
    <w:multiLevelType w:val="multilevel"/>
    <w:tmpl w:val="A6EC591E"/>
    <w:lvl w:ilvl="0">
      <w:start w:val="6"/>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C101734"/>
    <w:multiLevelType w:val="multilevel"/>
    <w:tmpl w:val="B290AF2A"/>
    <w:lvl w:ilvl="0">
      <w:start w:val="1"/>
      <w:numFmt w:val="decimal"/>
      <w:lvlText w:val="%1."/>
      <w:lvlJc w:val="left"/>
      <w:pPr>
        <w:ind w:left="360" w:hanging="360"/>
      </w:pPr>
      <w:rPr>
        <w:rFonts w:hint="default"/>
        <w:b/>
      </w:rPr>
    </w:lvl>
    <w:lvl w:ilvl="1">
      <w:start w:val="1"/>
      <w:numFmt w:val="decimal"/>
      <w:lvlText w:val="%1.%2."/>
      <w:lvlJc w:val="left"/>
      <w:pPr>
        <w:ind w:left="2487" w:hanging="360"/>
      </w:pPr>
      <w:rPr>
        <w:rFonts w:hint="default"/>
        <w:b/>
      </w:rPr>
    </w:lvl>
    <w:lvl w:ilvl="2">
      <w:start w:val="1"/>
      <w:numFmt w:val="bullet"/>
      <w:lvlText w:val=""/>
      <w:lvlJc w:val="left"/>
      <w:pPr>
        <w:ind w:left="2564" w:hanging="720"/>
      </w:pPr>
      <w:rPr>
        <w:rFonts w:ascii="Symbol" w:hAnsi="Symbol" w:hint="default"/>
        <w:b/>
      </w:rPr>
    </w:lvl>
    <w:lvl w:ilvl="3">
      <w:start w:val="1"/>
      <w:numFmt w:val="decimal"/>
      <w:lvlText w:val="%1.%2.%3.%4."/>
      <w:lvlJc w:val="left"/>
      <w:pPr>
        <w:ind w:left="4832"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160" w:hanging="1080"/>
      </w:pPr>
      <w:rPr>
        <w:rFonts w:hint="default"/>
        <w:b/>
      </w:rPr>
    </w:lvl>
    <w:lvl w:ilvl="8">
      <w:start w:val="1"/>
      <w:numFmt w:val="decimal"/>
      <w:lvlText w:val="%1.%2.%3.%4.%5.%6.%7.%8.%9."/>
      <w:lvlJc w:val="left"/>
      <w:pPr>
        <w:ind w:left="12960" w:hanging="144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F"/>
    <w:rsid w:val="00042D2A"/>
    <w:rsid w:val="00087495"/>
    <w:rsid w:val="00146A3C"/>
    <w:rsid w:val="001B1FA6"/>
    <w:rsid w:val="001E20C4"/>
    <w:rsid w:val="002814A8"/>
    <w:rsid w:val="0030255D"/>
    <w:rsid w:val="00320813"/>
    <w:rsid w:val="00344B7A"/>
    <w:rsid w:val="003B46BE"/>
    <w:rsid w:val="004D4533"/>
    <w:rsid w:val="00543568"/>
    <w:rsid w:val="005E599F"/>
    <w:rsid w:val="00653793"/>
    <w:rsid w:val="0072230F"/>
    <w:rsid w:val="00734F49"/>
    <w:rsid w:val="00742E2F"/>
    <w:rsid w:val="00757CF0"/>
    <w:rsid w:val="007C0DB5"/>
    <w:rsid w:val="007E0CCD"/>
    <w:rsid w:val="008011C3"/>
    <w:rsid w:val="008B3308"/>
    <w:rsid w:val="009148BF"/>
    <w:rsid w:val="009262DC"/>
    <w:rsid w:val="00954880"/>
    <w:rsid w:val="00992E0C"/>
    <w:rsid w:val="009D6D8E"/>
    <w:rsid w:val="009E378A"/>
    <w:rsid w:val="00A4243A"/>
    <w:rsid w:val="00AD58B7"/>
    <w:rsid w:val="00B0686E"/>
    <w:rsid w:val="00B26835"/>
    <w:rsid w:val="00BB7751"/>
    <w:rsid w:val="00BC7DCA"/>
    <w:rsid w:val="00C941ED"/>
    <w:rsid w:val="00CA667E"/>
    <w:rsid w:val="00CB1D26"/>
    <w:rsid w:val="00D40B14"/>
    <w:rsid w:val="00D611B9"/>
    <w:rsid w:val="00D82006"/>
    <w:rsid w:val="00DA07C5"/>
    <w:rsid w:val="00DA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0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0C"/>
    <w:pPr>
      <w:ind w:left="720"/>
      <w:contextualSpacing/>
    </w:pPr>
  </w:style>
  <w:style w:type="paragraph" w:styleId="a4">
    <w:name w:val="Balloon Text"/>
    <w:basedOn w:val="a"/>
    <w:link w:val="a5"/>
    <w:uiPriority w:val="99"/>
    <w:semiHidden/>
    <w:unhideWhenUsed/>
    <w:rsid w:val="00C941ED"/>
    <w:rPr>
      <w:rFonts w:ascii="Tahoma" w:hAnsi="Tahoma" w:cs="Tahoma"/>
      <w:sz w:val="16"/>
      <w:szCs w:val="16"/>
    </w:rPr>
  </w:style>
  <w:style w:type="character" w:customStyle="1" w:styleId="a5">
    <w:name w:val="Текст выноски Знак"/>
    <w:basedOn w:val="a0"/>
    <w:link w:val="a4"/>
    <w:uiPriority w:val="99"/>
    <w:semiHidden/>
    <w:rsid w:val="00C941ED"/>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0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E0C"/>
    <w:pPr>
      <w:ind w:left="720"/>
      <w:contextualSpacing/>
    </w:pPr>
  </w:style>
  <w:style w:type="paragraph" w:styleId="a4">
    <w:name w:val="Balloon Text"/>
    <w:basedOn w:val="a"/>
    <w:link w:val="a5"/>
    <w:uiPriority w:val="99"/>
    <w:semiHidden/>
    <w:unhideWhenUsed/>
    <w:rsid w:val="00C941ED"/>
    <w:rPr>
      <w:rFonts w:ascii="Tahoma" w:hAnsi="Tahoma" w:cs="Tahoma"/>
      <w:sz w:val="16"/>
      <w:szCs w:val="16"/>
    </w:rPr>
  </w:style>
  <w:style w:type="character" w:customStyle="1" w:styleId="a5">
    <w:name w:val="Текст выноски Знак"/>
    <w:basedOn w:val="a0"/>
    <w:link w:val="a4"/>
    <w:uiPriority w:val="99"/>
    <w:semiHidden/>
    <w:rsid w:val="00C941E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5788</Words>
  <Characters>3300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Цвілій Дмитро Анатолійович</dc:creator>
  <cp:lastModifiedBy>Воздвиженський Денис Ярославович</cp:lastModifiedBy>
  <cp:revision>1</cp:revision>
  <dcterms:created xsi:type="dcterms:W3CDTF">2018-03-30T09:36:00Z</dcterms:created>
  <dcterms:modified xsi:type="dcterms:W3CDTF">2018-03-30T09:36:00Z</dcterms:modified>
</cp:coreProperties>
</file>