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12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(Повне найменування управителя іпотечним покриттям)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(Код за ЄДРПОУ)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14.12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складання нерегулярних даних: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14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12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.2015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902"/>
        <w:gridCol w:w="950"/>
        <w:gridCol w:w="1032"/>
        <w:gridCol w:w="1140"/>
        <w:gridCol w:w="1543"/>
        <w:gridCol w:w="930"/>
        <w:gridCol w:w="1025"/>
        <w:gridCol w:w="752"/>
        <w:gridCol w:w="896"/>
        <w:gridCol w:w="1372"/>
        <w:gridCol w:w="1134"/>
        <w:gridCol w:w="1417"/>
        <w:gridCol w:w="1208"/>
      </w:tblGrid>
      <w:tr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іпотечних облігацій</w:t>
            </w:r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 відповідно до Довідника 7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1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5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2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2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Код за 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81,07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18,93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3 069 145,96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2 728 951,27</w:t>
            </w:r>
          </w:p>
        </w:tc>
      </w:tr>
      <w:tr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19.12.2012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УІП-03/12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15.01.2013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1/4/2013/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81,07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18,93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2 400 000,00</w:t>
            </w:r>
            <w:bookmarkStart w:id="0" w:name="_GoBack"/>
            <w:bookmarkEnd w:id="0"/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Перший заступник Голови Правління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u w:val="single"/>
                <w:lang w:val="uk-UA" w:eastAsia="ru-RU"/>
              </w:rPr>
              <w:t>_А.М. Кравець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 </w:t>
            </w:r>
          </w:p>
        </w:tc>
      </w:tr>
      <w:tr>
        <w:trPr>
          <w:tblCellSpacing w:w="22" w:type="dxa"/>
        </w:trPr>
        <w:tc>
          <w:tcPr>
            <w:tcW w:w="1483" w:type="pct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BAE1-7ECE-42CB-9A71-017BEAF3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45</cp:revision>
  <cp:lastPrinted>2015-01-19T14:54:00Z</cp:lastPrinted>
  <dcterms:created xsi:type="dcterms:W3CDTF">2013-07-18T12:32:00Z</dcterms:created>
  <dcterms:modified xsi:type="dcterms:W3CDTF">2015-12-14T07:26:00Z</dcterms:modified>
</cp:coreProperties>
</file>