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5672"/>
        <w:gridCol w:w="857"/>
        <w:gridCol w:w="4405"/>
      </w:tblGrid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8E31F6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bookmarkStart w:id="0" w:name="_GoBack"/>
            <w:bookmarkEnd w:id="0"/>
            <w:r w:rsidRPr="00C8295A">
              <w:rPr>
                <w:rFonts w:ascii="Arial" w:hAnsi="Arial" w:cs="Arial"/>
                <w:noProof/>
                <w:sz w:val="4"/>
                <w:szCs w:val="4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3D43D6BE" wp14:editId="6E920FB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16510</wp:posOffset>
                  </wp:positionV>
                  <wp:extent cx="2732405" cy="292735"/>
                  <wp:effectExtent l="0" t="0" r="0" b="0"/>
                  <wp:wrapNone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720" w:rsidRPr="00C8295A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Довідковий центр (цілодобово)</w:t>
            </w:r>
          </w:p>
        </w:tc>
      </w:tr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0 800-309-000 </w:t>
            </w:r>
          </w:p>
        </w:tc>
      </w:tr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044 494-46-50</w:t>
            </w:r>
          </w:p>
        </w:tc>
      </w:tr>
      <w:tr w:rsidR="00C8295A" w:rsidRPr="00C8295A" w:rsidTr="00922C58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895AF6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hyperlink r:id="rId8" w:history="1">
              <w:r w:rsidR="001F6720" w:rsidRPr="00C8295A">
                <w:rPr>
                  <w:rFonts w:ascii="Arial" w:eastAsia="Times New Roman" w:hAnsi="Arial" w:cs="Arial"/>
                  <w:bCs/>
                  <w:iCs/>
                  <w:sz w:val="14"/>
                  <w:szCs w:val="14"/>
                  <w:lang w:val="uk-UA" w:eastAsia="ru-RU"/>
                </w:rPr>
                <w:t>www.ukrgasbank.com</w:t>
              </w:r>
            </w:hyperlink>
          </w:p>
          <w:p w:rsidR="00032137" w:rsidRPr="00C8295A" w:rsidRDefault="00032137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банку:</w:t>
            </w:r>
          </w:p>
          <w:p w:rsidR="00922C58" w:rsidRPr="00C8295A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922C58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</w:t>
            </w:r>
            <w:r w:rsidR="00922C58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УБЛІЧНЕ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="00922C58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АКЦІОНЕРНЕ ТОВАРИСТВО </w:t>
            </w:r>
          </w:p>
          <w:p w:rsidR="001F6720" w:rsidRPr="00C8295A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АКЦІОНЕРНИЙ БАНК</w:t>
            </w:r>
            <w:r w:rsidR="001F6720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«</w:t>
            </w:r>
            <w:r w:rsidR="001F6720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УКРГАЗБАНК»</w:t>
            </w:r>
          </w:p>
          <w:p w:rsidR="001F6720" w:rsidRPr="00C8295A" w:rsidRDefault="00695D04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 НБУ № 123 від 06.10.2011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 державної реєстрації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03087, м. Київ, вул. Єреванська, 1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Поштова адреса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C8295A" w:rsidRDefault="001F6720" w:rsidP="00CE33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010</w:t>
            </w:r>
            <w:r w:rsidR="00CE3307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30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м. Київ , вул. </w:t>
            </w:r>
            <w:r w:rsidR="00CE3307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Богдана Хмельницького, 16-22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структурного підрозділу Банку, в якому здійснюється оформлення кредиту:</w:t>
            </w:r>
          </w:p>
        </w:tc>
        <w:tc>
          <w:tcPr>
            <w:tcW w:w="5262" w:type="dxa"/>
            <w:gridSpan w:val="2"/>
            <w:shd w:val="clear" w:color="000000" w:fill="auto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відділення №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Адреса:</w:t>
            </w:r>
          </w:p>
        </w:tc>
        <w:tc>
          <w:tcPr>
            <w:tcW w:w="5262" w:type="dxa"/>
            <w:gridSpan w:val="2"/>
            <w:shd w:val="clear" w:color="000000" w:fill="auto"/>
            <w:noWrap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&lt;$NPNAME$&gt; &lt;$NP1$&gt;</w:t>
            </w:r>
          </w:p>
        </w:tc>
      </w:tr>
      <w:tr w:rsidR="00C8295A" w:rsidRPr="00C8295A" w:rsidTr="008E31F6">
        <w:trPr>
          <w:trHeight w:val="80"/>
        </w:trPr>
        <w:tc>
          <w:tcPr>
            <w:tcW w:w="109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58" w:rsidRPr="00C8295A" w:rsidRDefault="00E57758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C8295A" w:rsidRDefault="001F6720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Паспорт споживчого кредиту</w:t>
            </w:r>
          </w:p>
          <w:p w:rsidR="001F6720" w:rsidRPr="00C8295A" w:rsidRDefault="001F6720" w:rsidP="00FF52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</w:tbl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3"/>
        <w:gridCol w:w="1108"/>
        <w:gridCol w:w="578"/>
        <w:gridCol w:w="2543"/>
        <w:gridCol w:w="274"/>
        <w:gridCol w:w="1623"/>
        <w:gridCol w:w="1932"/>
      </w:tblGrid>
      <w:tr w:rsidR="00C8295A" w:rsidRPr="00C8295A" w:rsidTr="008636A4">
        <w:tc>
          <w:tcPr>
            <w:tcW w:w="3681" w:type="dxa"/>
            <w:gridSpan w:val="2"/>
          </w:tcPr>
          <w:p w:rsidR="002F6031" w:rsidRPr="00C8295A" w:rsidRDefault="002F6031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Програма кредитування</w:t>
            </w:r>
          </w:p>
        </w:tc>
        <w:tc>
          <w:tcPr>
            <w:tcW w:w="6950" w:type="dxa"/>
            <w:gridSpan w:val="5"/>
          </w:tcPr>
          <w:p w:rsidR="002F6031" w:rsidRPr="00C8295A" w:rsidRDefault="002F6031" w:rsidP="006F6A8B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«</w:t>
            </w:r>
            <w:r w:rsidR="006F6A8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Еко-кредитка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»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Мета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споживчі цілі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Тип </w:t>
            </w:r>
            <w:r w:rsidR="00FA539A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та спосіб надання 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ліміт дозволеного овердрафту</w:t>
            </w:r>
            <w:r w:rsidR="00FA539A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, безготівковим шляхом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Валюта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національна валюта України - гривня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3B71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Строк</w:t>
            </w:r>
            <w:r w:rsidR="00DF051C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кредитування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12 міс.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Порядок надання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безготівковий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Погашення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 кінці строку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Дострокове погашення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обмежень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Забезпечення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забезпечення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Власний внесок</w:t>
            </w:r>
          </w:p>
        </w:tc>
        <w:tc>
          <w:tcPr>
            <w:tcW w:w="6950" w:type="dxa"/>
            <w:gridSpan w:val="5"/>
          </w:tcPr>
          <w:p w:rsidR="00DF051C" w:rsidRPr="00C8295A" w:rsidRDefault="00403F1B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</w:t>
            </w:r>
            <w:r w:rsidR="00DF051C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ідсутній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552587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Тип </w:t>
            </w:r>
            <w:r w:rsidR="00552587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процентної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ставки</w:t>
            </w:r>
          </w:p>
        </w:tc>
        <w:tc>
          <w:tcPr>
            <w:tcW w:w="6950" w:type="dxa"/>
            <w:gridSpan w:val="5"/>
          </w:tcPr>
          <w:p w:rsidR="00DF051C" w:rsidRPr="00C8295A" w:rsidRDefault="003B71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ф</w:t>
            </w:r>
            <w:r w:rsidR="00DF051C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іксована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(протягом строку дії договору)</w:t>
            </w:r>
          </w:p>
        </w:tc>
      </w:tr>
      <w:tr w:rsidR="00C8295A" w:rsidRPr="00C8295A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F051C" w:rsidRPr="00C8295A" w:rsidRDefault="00DF051C" w:rsidP="00552587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Порядок сплати </w:t>
            </w:r>
            <w:r w:rsidR="00552587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процентів</w:t>
            </w:r>
          </w:p>
        </w:tc>
        <w:tc>
          <w:tcPr>
            <w:tcW w:w="6950" w:type="dxa"/>
            <w:gridSpan w:val="5"/>
          </w:tcPr>
          <w:p w:rsidR="00DF051C" w:rsidRPr="00C8295A" w:rsidRDefault="00614F8D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щ</w:t>
            </w:r>
            <w:r w:rsidR="00DF051C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омісячно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(сплачуються до 25-го числа місяця, наступного за місяцем нарахування)</w:t>
            </w:r>
          </w:p>
        </w:tc>
      </w:tr>
      <w:tr w:rsidR="00C8295A" w:rsidRPr="00C8295A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B37B6B" w:rsidRPr="00C8295A" w:rsidRDefault="00B37B6B" w:rsidP="00B37B6B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Додаткові платежі </w:t>
            </w:r>
          </w:p>
          <w:p w:rsidR="00B37B6B" w:rsidRPr="00C8295A" w:rsidRDefault="00B37B6B" w:rsidP="00B37B6B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(в </w:t>
            </w:r>
            <w:proofErr w:type="spellStart"/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т.ч</w:t>
            </w:r>
            <w:proofErr w:type="spellEnd"/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. на користь третіх осіб)</w:t>
            </w:r>
          </w:p>
        </w:tc>
        <w:tc>
          <w:tcPr>
            <w:tcW w:w="6950" w:type="dxa"/>
            <w:gridSpan w:val="5"/>
          </w:tcPr>
          <w:p w:rsidR="00B37B6B" w:rsidRPr="00C8295A" w:rsidRDefault="00B37B6B" w:rsidP="00AE39A4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Щомісячний платіж за страхування життя власника рахунку </w:t>
            </w:r>
            <w:r w:rsidR="00AE39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– не передбачено</w:t>
            </w:r>
          </w:p>
        </w:tc>
      </w:tr>
      <w:tr w:rsidR="00C8295A" w:rsidRPr="00C8295A" w:rsidTr="00DE5E19">
        <w:tc>
          <w:tcPr>
            <w:tcW w:w="10631" w:type="dxa"/>
            <w:gridSpan w:val="7"/>
          </w:tcPr>
          <w:p w:rsidR="00DF051C" w:rsidRPr="00C8295A" w:rsidRDefault="00DF051C" w:rsidP="00DE5E19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Умови кредитування</w:t>
            </w:r>
          </w:p>
        </w:tc>
      </w:tr>
      <w:tr w:rsidR="00C8295A" w:rsidRPr="00C8295A" w:rsidTr="00724CB0">
        <w:tc>
          <w:tcPr>
            <w:tcW w:w="3681" w:type="dxa"/>
            <w:gridSpan w:val="2"/>
          </w:tcPr>
          <w:p w:rsidR="002F6031" w:rsidRPr="00C8295A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Орієнтовна сума кредиту</w:t>
            </w:r>
          </w:p>
        </w:tc>
        <w:tc>
          <w:tcPr>
            <w:tcW w:w="6950" w:type="dxa"/>
            <w:gridSpan w:val="5"/>
          </w:tcPr>
          <w:p w:rsidR="002F6031" w:rsidRPr="00C8295A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гривень</w:t>
            </w:r>
          </w:p>
        </w:tc>
      </w:tr>
      <w:tr w:rsidR="00C8295A" w:rsidRPr="00C8295A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F051C" w:rsidRPr="00C8295A" w:rsidRDefault="00DF051C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Можлива сума кредиту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DF051C" w:rsidRPr="00C8295A" w:rsidRDefault="00DF051C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- 300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гривень</w:t>
            </w:r>
          </w:p>
        </w:tc>
      </w:tr>
      <w:tr w:rsidR="00C8295A" w:rsidRPr="00C8295A" w:rsidTr="00CC2119">
        <w:tc>
          <w:tcPr>
            <w:tcW w:w="3681" w:type="dxa"/>
            <w:gridSpan w:val="2"/>
            <w:tcBorders>
              <w:bottom w:val="nil"/>
            </w:tcBorders>
          </w:tcPr>
          <w:p w:rsidR="002F6031" w:rsidRPr="00C8295A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Щомісячний платіж по кредиту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C8295A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не менше 7% від фактичної заборгованості (мінімум 50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грн.) станом на 1-е число місяця</w:t>
            </w:r>
          </w:p>
        </w:tc>
      </w:tr>
      <w:tr w:rsidR="00C8295A" w:rsidRPr="00C8295A" w:rsidTr="00E95B5C"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</w:tcPr>
          <w:p w:rsidR="002F6031" w:rsidRPr="00C8295A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Пільговий період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C8295A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30 календарних днів</w:t>
            </w:r>
          </w:p>
        </w:tc>
      </w:tr>
      <w:tr w:rsidR="00C8295A" w:rsidRPr="00C8295A" w:rsidTr="00DE4441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2F6031" w:rsidRPr="00C8295A" w:rsidRDefault="00552587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2F6031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C8295A" w:rsidRDefault="002F6031" w:rsidP="002F603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="009E2966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% річних </w:t>
            </w:r>
          </w:p>
        </w:tc>
      </w:tr>
      <w:tr w:rsidR="00C8295A" w:rsidRPr="00C8295A" w:rsidTr="00A72CB7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2F6031" w:rsidRPr="00C8295A" w:rsidRDefault="00552587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2F6031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 на Пільговий період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C8295A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0,00001 % річних</w:t>
            </w:r>
          </w:p>
        </w:tc>
      </w:tr>
      <w:tr w:rsidR="00C8295A" w:rsidRPr="00C8295A" w:rsidTr="000A07A2">
        <w:trPr>
          <w:trHeight w:val="19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DF051C" w:rsidRPr="00C8295A" w:rsidRDefault="00552587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DF051C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 на прострочену заборгованість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</w:tcBorders>
          </w:tcPr>
          <w:p w:rsidR="00DF051C" w:rsidRPr="00C8295A" w:rsidRDefault="00DF051C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48 % річних</w:t>
            </w:r>
          </w:p>
        </w:tc>
      </w:tr>
      <w:tr w:rsidR="00C8295A" w:rsidRPr="00C8295A" w:rsidTr="00DE5E19">
        <w:tc>
          <w:tcPr>
            <w:tcW w:w="10631" w:type="dxa"/>
            <w:gridSpan w:val="7"/>
          </w:tcPr>
          <w:p w:rsidR="00DF051C" w:rsidRPr="00C8295A" w:rsidRDefault="00DF051C" w:rsidP="00FF520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Базові тарифи</w:t>
            </w:r>
          </w:p>
        </w:tc>
      </w:tr>
      <w:tr w:rsidR="00C8295A" w:rsidRPr="00C8295A" w:rsidTr="00477D2C">
        <w:trPr>
          <w:trHeight w:val="205"/>
        </w:trPr>
        <w:tc>
          <w:tcPr>
            <w:tcW w:w="3681" w:type="dxa"/>
            <w:gridSpan w:val="2"/>
          </w:tcPr>
          <w:p w:rsidR="002F6031" w:rsidRPr="00C8295A" w:rsidRDefault="002F6031" w:rsidP="00166E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Комісія за отримання готівки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 без ПДВ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C8295A" w:rsidRDefault="009E2966" w:rsidP="00166E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95A">
              <w:rPr>
                <w:rFonts w:ascii="Arial" w:hAnsi="Arial" w:cs="Arial"/>
                <w:sz w:val="14"/>
                <w:szCs w:val="14"/>
              </w:rPr>
              <w:t>2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,99</w:t>
            </w:r>
            <w:r w:rsidR="002F6031" w:rsidRPr="00C8295A">
              <w:rPr>
                <w:rFonts w:ascii="Arial" w:hAnsi="Arial" w:cs="Arial"/>
                <w:sz w:val="14"/>
                <w:szCs w:val="14"/>
                <w:lang w:val="uk-UA"/>
              </w:rPr>
              <w:t>% (від 1000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,01</w:t>
            </w:r>
            <w:r w:rsidR="002F6031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грн.)</w:t>
            </w:r>
          </w:p>
        </w:tc>
      </w:tr>
      <w:tr w:rsidR="00C8295A" w:rsidRPr="00C8295A" w:rsidTr="000A07A2">
        <w:trPr>
          <w:trHeight w:val="111"/>
        </w:trPr>
        <w:tc>
          <w:tcPr>
            <w:tcW w:w="3681" w:type="dxa"/>
            <w:gridSpan w:val="2"/>
          </w:tcPr>
          <w:p w:rsidR="00DF051C" w:rsidRPr="00C8295A" w:rsidRDefault="00DF051C" w:rsidP="00FF520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Комісія за безготівкову оплату товарів/послуг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AA2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відсутня</w:t>
            </w:r>
          </w:p>
        </w:tc>
      </w:tr>
      <w:tr w:rsidR="00C8295A" w:rsidRPr="00C8295A" w:rsidTr="00C24CED">
        <w:tc>
          <w:tcPr>
            <w:tcW w:w="10631" w:type="dxa"/>
            <w:gridSpan w:val="7"/>
            <w:tcBorders>
              <w:bottom w:val="nil"/>
            </w:tcBorders>
          </w:tcPr>
          <w:p w:rsidR="00DF051C" w:rsidRPr="00C8295A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Тарифи на додаткові послуги визначені умовами Тарифного плану</w:t>
            </w:r>
            <w:r w:rsidR="00F933B0" w:rsidRPr="00C8295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</w:tc>
      </w:tr>
      <w:tr w:rsidR="00C8295A" w:rsidRPr="00C8295A" w:rsidTr="00C24CED">
        <w:tc>
          <w:tcPr>
            <w:tcW w:w="10631" w:type="dxa"/>
            <w:gridSpan w:val="7"/>
            <w:tcBorders>
              <w:top w:val="nil"/>
            </w:tcBorders>
          </w:tcPr>
          <w:p w:rsidR="00DF051C" w:rsidRPr="00C8295A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Вартість встановлюється Банком на підставі ст.1 з-ну України «Про господарські товариства» та ст.47 З-ну України «Про банки та банківську діяльність»</w:t>
            </w:r>
            <w:r w:rsidR="00F933B0" w:rsidRPr="00C8295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  <w:p w:rsidR="00F933B0" w:rsidRPr="00C8295A" w:rsidRDefault="00F933B0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Застереження: витрати на такі послуги можуть змінюватись протягом строку дії договору про споживчий кредит.</w:t>
            </w:r>
          </w:p>
        </w:tc>
      </w:tr>
      <w:tr w:rsidR="00C8295A" w:rsidRPr="00C8295A" w:rsidTr="000D603B">
        <w:trPr>
          <w:trHeight w:val="14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552587" w:rsidRPr="00C8295A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Інформація щодо </w:t>
            </w:r>
            <w:r w:rsidR="00FA539A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орієнтовної 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загальної вартості кредиту для Клієнта та реальної річної процентної ставки за договором про споживчий кредит</w:t>
            </w:r>
          </w:p>
        </w:tc>
      </w:tr>
      <w:tr w:rsidR="00C8295A" w:rsidRPr="00C8295A" w:rsidTr="0042582C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Реальна річна процентна ставка, %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587" w:rsidRPr="00C8295A" w:rsidRDefault="00E27673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49,73</w:t>
            </w:r>
            <w:r w:rsidR="00552587" w:rsidRPr="00C8295A">
              <w:rPr>
                <w:rFonts w:ascii="Arial" w:hAnsi="Arial" w:cs="Arial"/>
                <w:sz w:val="14"/>
                <w:szCs w:val="14"/>
                <w:lang w:val="uk-UA"/>
              </w:rPr>
              <w:t>% - для пакету «ЕКО-кредитка»</w:t>
            </w:r>
          </w:p>
        </w:tc>
      </w:tr>
      <w:tr w:rsidR="00C8295A" w:rsidRPr="00C8295A" w:rsidTr="000A07A2">
        <w:tc>
          <w:tcPr>
            <w:tcW w:w="368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Розраховано з урахуванням: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295A" w:rsidRPr="00C8295A" w:rsidTr="00E63A19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1)процентної ставки за кредитом, вартості всіх обов’язкових додаткових та супутніх послуг, а також інших фінансових зобов'язань Клієнта, які пов'язані з отриманням, обслуговуванням і погашенням кредиту; </w:t>
            </w:r>
          </w:p>
        </w:tc>
      </w:tr>
      <w:tr w:rsidR="00C8295A" w:rsidRPr="00C8295A" w:rsidTr="00C47040">
        <w:trPr>
          <w:trHeight w:val="70"/>
        </w:trPr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2)варіантів погашення кредиту, уключаючи кількість платежів, їх періодичність та обсяги; </w:t>
            </w:r>
          </w:p>
        </w:tc>
      </w:tr>
      <w:tr w:rsidR="00C8295A" w:rsidRPr="00C8295A" w:rsidTr="00CC144E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3) можливості та умов дострокового повернення кредиту;</w:t>
            </w:r>
          </w:p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Клієнта є репрезентативними та базуються на обраних ним 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кредитодавець</w:t>
            </w:r>
            <w:proofErr w:type="spellEnd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і Клієнт виконають свої обов’язки на умовах та у строки, визначені в договорі.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br/>
              <w:t xml:space="preserve">Реальна річна процентна ставка обчислена на основі припущення, що процентна ставка та інші платежі за послуги 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кредитодавця</w:t>
            </w:r>
            <w:proofErr w:type="spellEnd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C8295A" w:rsidRPr="00C8295A" w:rsidTr="009F7FD5"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b/>
                <w:sz w:val="14"/>
                <w:szCs w:val="14"/>
                <w:lang w:val="uk-UA"/>
              </w:rPr>
              <w:t>Загальні витрати за кредитом, грн.</w:t>
            </w:r>
          </w:p>
        </w:tc>
        <w:tc>
          <w:tcPr>
            <w:tcW w:w="6950" w:type="dxa"/>
            <w:gridSpan w:val="5"/>
            <w:vMerge w:val="restart"/>
            <w:tcBorders>
              <w:top w:val="single" w:sz="4" w:space="0" w:color="auto"/>
            </w:tcBorders>
          </w:tcPr>
          <w:p w:rsidR="00552587" w:rsidRPr="00C8295A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552587" w:rsidRPr="00C8295A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2 6</w:t>
            </w:r>
            <w:r w:rsidRPr="00C8295A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,89</w:t>
            </w:r>
          </w:p>
        </w:tc>
      </w:tr>
      <w:tr w:rsidR="00C8295A" w:rsidRPr="00C8295A" w:rsidTr="009F7FD5"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Проценти</w:t>
            </w:r>
          </w:p>
        </w:tc>
        <w:tc>
          <w:tcPr>
            <w:tcW w:w="6950" w:type="dxa"/>
            <w:gridSpan w:val="5"/>
            <w:vMerge/>
            <w:tcBorders>
              <w:bottom w:val="single" w:sz="4" w:space="0" w:color="auto"/>
            </w:tcBorders>
          </w:tcPr>
          <w:p w:rsidR="00552587" w:rsidRPr="00C8295A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295A" w:rsidRPr="00C8295A" w:rsidTr="00515982">
        <w:trPr>
          <w:trHeight w:val="203"/>
        </w:trPr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Комісії, платежі за додаткові та супутні послуги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E27673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299,00</w:t>
            </w:r>
          </w:p>
        </w:tc>
      </w:tr>
      <w:tr w:rsidR="00C8295A" w:rsidRPr="00C8295A" w:rsidTr="00BD6B28">
        <w:trPr>
          <w:trHeight w:val="203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Разом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E27673" w:rsidP="0055258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2 951,89</w:t>
            </w:r>
          </w:p>
        </w:tc>
      </w:tr>
      <w:tr w:rsidR="00C8295A" w:rsidRPr="00C8295A" w:rsidTr="00DE5E19">
        <w:trPr>
          <w:trHeight w:val="203"/>
        </w:trPr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Вартість кредиту розрахована при варіанті, коли Клієнт отримує всю суму кредиту в день укладання угоди 1-го числа місяця та погашає заборгованість в останній день дії договору (відсотки розраховані за повний місяць користування кредитом).</w:t>
            </w:r>
          </w:p>
        </w:tc>
      </w:tr>
      <w:tr w:rsidR="00C8295A" w:rsidRPr="00C8295A" w:rsidTr="00E16994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Інші важливі правові аспекти</w:t>
            </w:r>
          </w:p>
        </w:tc>
      </w:tr>
      <w:tr w:rsidR="00C8295A" w:rsidRPr="00C8295A" w:rsidTr="00E16994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Клієнт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</w:tr>
      <w:tr w:rsidR="00C8295A" w:rsidRPr="00C8295A" w:rsidTr="00E16994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 має право достроково повернути споживчий кредит без будь-якої додаткової плати, пов’язаної з достроковим поверненням. Договором про споживчий кредит може бути встановлений обов’язок повідомлення 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кредитодавця</w:t>
            </w:r>
            <w:proofErr w:type="spellEnd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про намір дострокового повернення споживчого кредиту з оформленням відповідного документа.</w:t>
            </w:r>
          </w:p>
        </w:tc>
      </w:tr>
      <w:tr w:rsidR="00C8295A" w:rsidRPr="00C8295A" w:rsidTr="00E16994"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кредитодавцем</w:t>
            </w:r>
            <w:proofErr w:type="spellEnd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оцінки кредитоспроможності Клієнта  з урахуванням, зокрема, наданої ним інформації про майновий та сімейний стан, розмір доходів тощо.</w:t>
            </w:r>
          </w:p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Клієнт одночасно може мати кредит виключно за однією, із зазначених в цьому Паспорті, програмою кредитування.</w:t>
            </w:r>
          </w:p>
        </w:tc>
      </w:tr>
      <w:tr w:rsidR="00C8295A" w:rsidRPr="00C8295A" w:rsidTr="000A07A2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Дата надання інформації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дд/мм/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рррр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Ця інформація зберігає чинність та є актуальною до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дд/мм/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рррр</w:t>
            </w:r>
            <w:proofErr w:type="spellEnd"/>
          </w:p>
        </w:tc>
      </w:tr>
      <w:tr w:rsidR="00C8295A" w:rsidRPr="00C8295A" w:rsidTr="000A07A2">
        <w:tc>
          <w:tcPr>
            <w:tcW w:w="2573" w:type="dxa"/>
            <w:tcBorders>
              <w:top w:val="single" w:sz="4" w:space="0" w:color="auto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Підпис 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кредитодавця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ПІБ 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кредитодавця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295A" w:rsidRPr="00C8295A" w:rsidTr="000A07A2">
        <w:tc>
          <w:tcPr>
            <w:tcW w:w="2573" w:type="dxa"/>
            <w:tcBorders>
              <w:top w:val="nil"/>
              <w:bottom w:val="single" w:sz="4" w:space="0" w:color="auto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295A" w:rsidRPr="00C8295A" w:rsidTr="0073555D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Підтверджую отримання та ознайомлення з інформацією про умови кредитування (в </w:t>
            </w:r>
            <w:proofErr w:type="spellStart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т.ч</w:t>
            </w:r>
            <w:proofErr w:type="spellEnd"/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. з іншими пропозиціями Банку) та орієнтовну загальну вартість кредиту, надані виходячи із обраних мною умов кредитування.</w:t>
            </w:r>
          </w:p>
        </w:tc>
      </w:tr>
      <w:tr w:rsidR="00C8295A" w:rsidRPr="00C8295A" w:rsidTr="0073555D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C8295A" w:rsidRPr="00C8295A" w:rsidTr="000A07A2">
        <w:trPr>
          <w:trHeight w:val="164"/>
        </w:trPr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Підпис Клієнта: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ПІБ Клієнта:                  </w:t>
            </w:r>
          </w:p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              </w:t>
            </w:r>
          </w:p>
        </w:tc>
      </w:tr>
      <w:tr w:rsidR="00C8295A" w:rsidRPr="00C8295A" w:rsidTr="000A07A2">
        <w:trPr>
          <w:trHeight w:val="162"/>
        </w:trPr>
        <w:tc>
          <w:tcPr>
            <w:tcW w:w="2573" w:type="dxa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Дата:</w:t>
            </w:r>
          </w:p>
        </w:tc>
        <w:tc>
          <w:tcPr>
            <w:tcW w:w="4503" w:type="dxa"/>
            <w:gridSpan w:val="4"/>
            <w:vMerge/>
            <w:tcBorders>
              <w:top w:val="nil"/>
              <w:righ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52587" w:rsidRPr="00C8295A" w:rsidTr="000A07A2">
        <w:trPr>
          <w:trHeight w:val="162"/>
        </w:trPr>
        <w:tc>
          <w:tcPr>
            <w:tcW w:w="2573" w:type="dxa"/>
            <w:tcBorders>
              <w:top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03" w:type="dxa"/>
            <w:gridSpan w:val="4"/>
            <w:vMerge/>
            <w:tcBorders>
              <w:top w:val="nil"/>
              <w:righ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</w:tbl>
    <w:p w:rsidR="00512F4C" w:rsidRPr="00C8295A" w:rsidRDefault="00512F4C" w:rsidP="00855A07">
      <w:pPr>
        <w:rPr>
          <w:rFonts w:ascii="Arial" w:hAnsi="Arial" w:cs="Arial"/>
          <w:sz w:val="16"/>
          <w:szCs w:val="16"/>
          <w:lang w:val="uk-UA"/>
        </w:rPr>
      </w:pPr>
    </w:p>
    <w:sectPr w:rsidR="00512F4C" w:rsidRPr="00C8295A" w:rsidSect="00167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" w:right="850" w:bottom="284" w:left="56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F6" w:rsidRDefault="00895AF6" w:rsidP="00F6699F">
      <w:pPr>
        <w:spacing w:after="0" w:line="240" w:lineRule="auto"/>
      </w:pPr>
      <w:r>
        <w:separator/>
      </w:r>
    </w:p>
  </w:endnote>
  <w:endnote w:type="continuationSeparator" w:id="0">
    <w:p w:rsidR="00895AF6" w:rsidRDefault="00895AF6" w:rsidP="00F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B" w:rsidRDefault="00D30D1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B" w:rsidRDefault="00D30D1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B" w:rsidRDefault="00D30D1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F6" w:rsidRDefault="00895AF6" w:rsidP="00F6699F">
      <w:pPr>
        <w:spacing w:after="0" w:line="240" w:lineRule="auto"/>
      </w:pPr>
      <w:r>
        <w:separator/>
      </w:r>
    </w:p>
  </w:footnote>
  <w:footnote w:type="continuationSeparator" w:id="0">
    <w:p w:rsidR="00895AF6" w:rsidRDefault="00895AF6" w:rsidP="00F6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B" w:rsidRDefault="00D30D1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93" w:rsidRPr="00B37B6B" w:rsidRDefault="00BB7C93" w:rsidP="00B37B6B">
    <w:pPr>
      <w:spacing w:line="240" w:lineRule="auto"/>
      <w:jc w:val="right"/>
      <w:rPr>
        <w:sz w:val="20"/>
        <w:szCs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B" w:rsidRDefault="00D30D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5E9"/>
    <w:multiLevelType w:val="hybridMultilevel"/>
    <w:tmpl w:val="1C08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54"/>
    <w:rsid w:val="0000161F"/>
    <w:rsid w:val="00002CD1"/>
    <w:rsid w:val="00004262"/>
    <w:rsid w:val="00013849"/>
    <w:rsid w:val="00032137"/>
    <w:rsid w:val="000443A8"/>
    <w:rsid w:val="0008752E"/>
    <w:rsid w:val="00094FBC"/>
    <w:rsid w:val="000A07A2"/>
    <w:rsid w:val="000D603B"/>
    <w:rsid w:val="00112B06"/>
    <w:rsid w:val="00122E7F"/>
    <w:rsid w:val="001318ED"/>
    <w:rsid w:val="001345ED"/>
    <w:rsid w:val="0014645B"/>
    <w:rsid w:val="00146AAC"/>
    <w:rsid w:val="00156BD9"/>
    <w:rsid w:val="00166E56"/>
    <w:rsid w:val="001671A7"/>
    <w:rsid w:val="00171404"/>
    <w:rsid w:val="0017441F"/>
    <w:rsid w:val="001A35E8"/>
    <w:rsid w:val="001C5D55"/>
    <w:rsid w:val="001C6050"/>
    <w:rsid w:val="001F6720"/>
    <w:rsid w:val="00211645"/>
    <w:rsid w:val="00211CE9"/>
    <w:rsid w:val="00212C22"/>
    <w:rsid w:val="00230899"/>
    <w:rsid w:val="002878A3"/>
    <w:rsid w:val="002D0070"/>
    <w:rsid w:val="002D14BE"/>
    <w:rsid w:val="002E3561"/>
    <w:rsid w:val="002F6031"/>
    <w:rsid w:val="00301809"/>
    <w:rsid w:val="0031382B"/>
    <w:rsid w:val="003211C5"/>
    <w:rsid w:val="00333275"/>
    <w:rsid w:val="003422EA"/>
    <w:rsid w:val="00390331"/>
    <w:rsid w:val="00392B88"/>
    <w:rsid w:val="00397773"/>
    <w:rsid w:val="003A1311"/>
    <w:rsid w:val="003B038F"/>
    <w:rsid w:val="003B711C"/>
    <w:rsid w:val="003B7AF9"/>
    <w:rsid w:val="003D17FB"/>
    <w:rsid w:val="003E50B8"/>
    <w:rsid w:val="003F1B94"/>
    <w:rsid w:val="00403F1B"/>
    <w:rsid w:val="004077A1"/>
    <w:rsid w:val="004425CD"/>
    <w:rsid w:val="00455F26"/>
    <w:rsid w:val="004561AE"/>
    <w:rsid w:val="00465A13"/>
    <w:rsid w:val="004A70A1"/>
    <w:rsid w:val="004B2648"/>
    <w:rsid w:val="004C3EC1"/>
    <w:rsid w:val="004C6C3B"/>
    <w:rsid w:val="00504A6A"/>
    <w:rsid w:val="00506016"/>
    <w:rsid w:val="005115B3"/>
    <w:rsid w:val="00512F4C"/>
    <w:rsid w:val="00532688"/>
    <w:rsid w:val="00543C0B"/>
    <w:rsid w:val="005466CE"/>
    <w:rsid w:val="0054789C"/>
    <w:rsid w:val="00552587"/>
    <w:rsid w:val="00555EB4"/>
    <w:rsid w:val="0059244F"/>
    <w:rsid w:val="005A6C7F"/>
    <w:rsid w:val="005B10B1"/>
    <w:rsid w:val="005C43F3"/>
    <w:rsid w:val="005D2AE9"/>
    <w:rsid w:val="005D5E11"/>
    <w:rsid w:val="005E017E"/>
    <w:rsid w:val="005E0187"/>
    <w:rsid w:val="005E6024"/>
    <w:rsid w:val="00614F8D"/>
    <w:rsid w:val="0064304E"/>
    <w:rsid w:val="0067395F"/>
    <w:rsid w:val="006866B6"/>
    <w:rsid w:val="00687EB0"/>
    <w:rsid w:val="00695D04"/>
    <w:rsid w:val="006A04A6"/>
    <w:rsid w:val="006B3A3F"/>
    <w:rsid w:val="006D5720"/>
    <w:rsid w:val="006D6FAF"/>
    <w:rsid w:val="006D7E88"/>
    <w:rsid w:val="006E361D"/>
    <w:rsid w:val="006F6A8B"/>
    <w:rsid w:val="007065A7"/>
    <w:rsid w:val="007222F3"/>
    <w:rsid w:val="0073555D"/>
    <w:rsid w:val="0076181A"/>
    <w:rsid w:val="00764D0B"/>
    <w:rsid w:val="00775DEF"/>
    <w:rsid w:val="00791ABD"/>
    <w:rsid w:val="00797495"/>
    <w:rsid w:val="007B3E7E"/>
    <w:rsid w:val="007F3E8D"/>
    <w:rsid w:val="007F71F1"/>
    <w:rsid w:val="00817BA4"/>
    <w:rsid w:val="00844A7F"/>
    <w:rsid w:val="00851610"/>
    <w:rsid w:val="00855A07"/>
    <w:rsid w:val="008602C4"/>
    <w:rsid w:val="00866664"/>
    <w:rsid w:val="00881EAC"/>
    <w:rsid w:val="00895AF6"/>
    <w:rsid w:val="008A39F6"/>
    <w:rsid w:val="008C2F42"/>
    <w:rsid w:val="008C43CB"/>
    <w:rsid w:val="008C5EB2"/>
    <w:rsid w:val="008E31F6"/>
    <w:rsid w:val="00915063"/>
    <w:rsid w:val="00922C58"/>
    <w:rsid w:val="009530E8"/>
    <w:rsid w:val="00953525"/>
    <w:rsid w:val="00965E3A"/>
    <w:rsid w:val="00967C07"/>
    <w:rsid w:val="00996E86"/>
    <w:rsid w:val="009C6083"/>
    <w:rsid w:val="009D48B7"/>
    <w:rsid w:val="009E2966"/>
    <w:rsid w:val="009E5AB5"/>
    <w:rsid w:val="009F168D"/>
    <w:rsid w:val="00A52140"/>
    <w:rsid w:val="00A71147"/>
    <w:rsid w:val="00A7255C"/>
    <w:rsid w:val="00A933E0"/>
    <w:rsid w:val="00AA207F"/>
    <w:rsid w:val="00AA5A6C"/>
    <w:rsid w:val="00AC3B2F"/>
    <w:rsid w:val="00AD48A5"/>
    <w:rsid w:val="00AD6B03"/>
    <w:rsid w:val="00AE39A4"/>
    <w:rsid w:val="00AE77A7"/>
    <w:rsid w:val="00AF4B54"/>
    <w:rsid w:val="00B17D49"/>
    <w:rsid w:val="00B37B6B"/>
    <w:rsid w:val="00B51983"/>
    <w:rsid w:val="00B54821"/>
    <w:rsid w:val="00BB7C93"/>
    <w:rsid w:val="00BE6D98"/>
    <w:rsid w:val="00C007F7"/>
    <w:rsid w:val="00C010A3"/>
    <w:rsid w:val="00C07E1F"/>
    <w:rsid w:val="00C24CED"/>
    <w:rsid w:val="00C2557A"/>
    <w:rsid w:val="00C308F5"/>
    <w:rsid w:val="00C32D95"/>
    <w:rsid w:val="00C3482A"/>
    <w:rsid w:val="00C371C8"/>
    <w:rsid w:val="00C3763A"/>
    <w:rsid w:val="00C43BE6"/>
    <w:rsid w:val="00C47040"/>
    <w:rsid w:val="00C62C54"/>
    <w:rsid w:val="00C73D12"/>
    <w:rsid w:val="00C8295A"/>
    <w:rsid w:val="00C9538C"/>
    <w:rsid w:val="00CC144E"/>
    <w:rsid w:val="00CC7B33"/>
    <w:rsid w:val="00CE0157"/>
    <w:rsid w:val="00CE3307"/>
    <w:rsid w:val="00CF6205"/>
    <w:rsid w:val="00CF73D6"/>
    <w:rsid w:val="00D0041A"/>
    <w:rsid w:val="00D03615"/>
    <w:rsid w:val="00D0572F"/>
    <w:rsid w:val="00D30D1B"/>
    <w:rsid w:val="00D52EA4"/>
    <w:rsid w:val="00D81D93"/>
    <w:rsid w:val="00DA386D"/>
    <w:rsid w:val="00DB3FB2"/>
    <w:rsid w:val="00DC274E"/>
    <w:rsid w:val="00DE4BB1"/>
    <w:rsid w:val="00DE5E19"/>
    <w:rsid w:val="00DF051C"/>
    <w:rsid w:val="00DF2821"/>
    <w:rsid w:val="00E16994"/>
    <w:rsid w:val="00E27673"/>
    <w:rsid w:val="00E51353"/>
    <w:rsid w:val="00E54ED7"/>
    <w:rsid w:val="00E56EE5"/>
    <w:rsid w:val="00E57758"/>
    <w:rsid w:val="00E63404"/>
    <w:rsid w:val="00E63A19"/>
    <w:rsid w:val="00E75A5C"/>
    <w:rsid w:val="00EB621E"/>
    <w:rsid w:val="00EC1743"/>
    <w:rsid w:val="00EC2EA4"/>
    <w:rsid w:val="00ED7772"/>
    <w:rsid w:val="00EE191B"/>
    <w:rsid w:val="00F044C8"/>
    <w:rsid w:val="00F14299"/>
    <w:rsid w:val="00F6699F"/>
    <w:rsid w:val="00F933B0"/>
    <w:rsid w:val="00F97A71"/>
    <w:rsid w:val="00FA539A"/>
    <w:rsid w:val="00FD22AE"/>
    <w:rsid w:val="00FE7F9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7E001-887F-4518-B987-47CFD79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C7B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3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4D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4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4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43F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43F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99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gasbank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3482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Цвілій Дмитро Анатолійович</dc:creator>
  <cp:keywords/>
  <dc:description/>
  <cp:lastModifiedBy>Остапчук Тетяна Володимирівна</cp:lastModifiedBy>
  <cp:revision>2</cp:revision>
  <dcterms:created xsi:type="dcterms:W3CDTF">2021-05-31T15:00:00Z</dcterms:created>
  <dcterms:modified xsi:type="dcterms:W3CDTF">2021-05-31T15:00:00Z</dcterms:modified>
</cp:coreProperties>
</file>