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14"/>
        <w:gridCol w:w="8675"/>
      </w:tblGrid>
      <w:tr w:rsidR="0085367F" w:rsidRPr="00147EAC" w:rsidTr="009909C8">
        <w:tc>
          <w:tcPr>
            <w:tcW w:w="1214" w:type="dxa"/>
            <w:shd w:val="clear" w:color="auto" w:fill="auto"/>
          </w:tcPr>
          <w:p w:rsidR="000A627D" w:rsidRPr="00147EAC" w:rsidRDefault="000A627D" w:rsidP="00ED1C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shd w:val="clear" w:color="auto" w:fill="auto"/>
          </w:tcPr>
          <w:p w:rsidR="000A627D" w:rsidRPr="00147EAC" w:rsidRDefault="000A627D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ЗАТВЕРДЖЕНО</w:t>
            </w:r>
          </w:p>
          <w:p w:rsidR="000A627D" w:rsidRPr="00147EAC" w:rsidRDefault="000A627D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Протокол Наглядової ради</w:t>
            </w:r>
          </w:p>
          <w:p w:rsidR="000A627D" w:rsidRPr="00147EAC" w:rsidRDefault="000A627D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АБ «УКРГАЗБАНК»</w:t>
            </w:r>
          </w:p>
          <w:p w:rsidR="004B1065" w:rsidRDefault="000A627D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="004B1065" w:rsidRPr="004D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09.01.</w:t>
            </w:r>
            <w:r w:rsidR="004B1065" w:rsidRPr="004D67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2026</w:t>
            </w:r>
            <w:r w:rsidR="004B1065" w:rsidRPr="0072482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4B1065" w:rsidRPr="004D67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  <w:r w:rsidR="004B1065" w:rsidRPr="004D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A627D" w:rsidRPr="00147EAC" w:rsidRDefault="000A627D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Голова Наглядової ради</w:t>
            </w:r>
          </w:p>
          <w:p w:rsidR="00A94E53" w:rsidRDefault="00A94E53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АБ «УКРГАЗБАНК»</w:t>
            </w:r>
          </w:p>
          <w:p w:rsidR="00380BE6" w:rsidRPr="00147EAC" w:rsidRDefault="00380BE6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94E53" w:rsidRPr="00147EAC" w:rsidRDefault="00A94E53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482C" w:rsidRDefault="000A627D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:rsidR="000A627D" w:rsidRPr="00147EAC" w:rsidRDefault="000A627D" w:rsidP="00ED1C4E">
            <w:pPr>
              <w:spacing w:after="0" w:line="240" w:lineRule="auto"/>
              <w:ind w:left="46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  <w:r w:rsidR="00CA2FB6"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56CC"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>Санела</w:t>
            </w:r>
            <w:proofErr w:type="spellEnd"/>
            <w:r w:rsidR="00FE56CC"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ПАШІЧ</w:t>
            </w:r>
            <w:r w:rsidR="00CA2FB6" w:rsidRPr="0014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A627D" w:rsidRPr="00147EAC" w:rsidRDefault="000A627D" w:rsidP="00ED1C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0A627D" w:rsidRPr="00147EAC" w:rsidRDefault="000A627D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86789" w:rsidRPr="00147EAC" w:rsidRDefault="00A86789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86789" w:rsidRPr="00147EAC" w:rsidRDefault="00A86789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42109" w:rsidRPr="00147EAC" w:rsidRDefault="00A42109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C70FA" w:rsidRPr="00147EAC" w:rsidRDefault="003C70FA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C70FA" w:rsidRDefault="003C70FA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2482C" w:rsidRPr="00147EAC" w:rsidRDefault="0072482C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42109" w:rsidRPr="00147EAC" w:rsidRDefault="00A42109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0A627D" w:rsidRPr="00147EAC" w:rsidRDefault="000A627D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DB1120" w:rsidRPr="00147EAC" w:rsidRDefault="00DB1120" w:rsidP="00ED1C4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47EAC">
        <w:rPr>
          <w:rFonts w:ascii="Times New Roman" w:hAnsi="Times New Roman"/>
          <w:b/>
          <w:bCs/>
          <w:iCs/>
          <w:sz w:val="24"/>
          <w:szCs w:val="24"/>
        </w:rPr>
        <w:t>Звіт</w:t>
      </w:r>
    </w:p>
    <w:p w:rsidR="00DB1120" w:rsidRPr="00147EAC" w:rsidRDefault="00DB1120" w:rsidP="00ED1C4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47EAC">
        <w:rPr>
          <w:rFonts w:ascii="Times New Roman" w:hAnsi="Times New Roman"/>
          <w:b/>
          <w:bCs/>
          <w:iCs/>
          <w:sz w:val="24"/>
          <w:szCs w:val="24"/>
        </w:rPr>
        <w:t>Комітету з управління ризиками</w:t>
      </w:r>
    </w:p>
    <w:p w:rsidR="00DB1120" w:rsidRPr="00147EAC" w:rsidRDefault="00DB1120" w:rsidP="00ED1C4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47EAC">
        <w:rPr>
          <w:rFonts w:ascii="Times New Roman" w:hAnsi="Times New Roman"/>
          <w:b/>
          <w:bCs/>
          <w:iCs/>
          <w:sz w:val="24"/>
          <w:szCs w:val="24"/>
        </w:rPr>
        <w:t>Наглядової ради АБ «УКРГАЗБАНК»</w:t>
      </w:r>
    </w:p>
    <w:p w:rsidR="003367B5" w:rsidRPr="00147EAC" w:rsidRDefault="00DB1120" w:rsidP="00ED1C4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47EAC">
        <w:rPr>
          <w:rFonts w:ascii="Times New Roman" w:hAnsi="Times New Roman"/>
          <w:b/>
          <w:bCs/>
          <w:iCs/>
          <w:sz w:val="24"/>
          <w:szCs w:val="24"/>
        </w:rPr>
        <w:t xml:space="preserve">про результати діяльності </w:t>
      </w:r>
      <w:r w:rsidR="003367B5" w:rsidRPr="00147EAC">
        <w:rPr>
          <w:rFonts w:ascii="Times New Roman" w:hAnsi="Times New Roman"/>
          <w:b/>
          <w:bCs/>
          <w:iCs/>
          <w:sz w:val="24"/>
          <w:szCs w:val="24"/>
        </w:rPr>
        <w:t>за ІV квартал 2025 року</w:t>
      </w:r>
    </w:p>
    <w:p w:rsidR="00DB1120" w:rsidRPr="00147EAC" w:rsidRDefault="003367B5" w:rsidP="00ED1C4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47EAC">
        <w:rPr>
          <w:rFonts w:ascii="Times New Roman" w:hAnsi="Times New Roman"/>
          <w:b/>
          <w:bCs/>
          <w:iCs/>
          <w:sz w:val="24"/>
          <w:szCs w:val="24"/>
        </w:rPr>
        <w:t>та 2025 рік в цілому</w:t>
      </w:r>
    </w:p>
    <w:p w:rsidR="00A24D53" w:rsidRPr="00147EAC" w:rsidRDefault="00A24D53" w:rsidP="00ED1C4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0A627D" w:rsidRPr="00147EAC" w:rsidRDefault="000A627D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45C68" w:rsidRPr="00147EAC" w:rsidRDefault="00A45C68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A1A03" w:rsidRPr="00147EAC" w:rsidRDefault="002567F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147EA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C0037" w:rsidRPr="00147EA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A42109" w:rsidRPr="00147EAC" w:rsidRDefault="00A42109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42109" w:rsidRPr="00147EAC" w:rsidRDefault="00A42109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07196" w:rsidRPr="00147EAC" w:rsidRDefault="00F0719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07196" w:rsidRPr="00147EAC" w:rsidRDefault="00F0719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07196" w:rsidRPr="00147EAC" w:rsidRDefault="00F0719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07196" w:rsidRPr="00147EAC" w:rsidRDefault="00F0719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07196" w:rsidRPr="00147EAC" w:rsidRDefault="00F0719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C70FA" w:rsidRPr="00147EAC" w:rsidRDefault="003C70FA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535C" w:rsidRPr="00147EAC" w:rsidRDefault="006F535C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07196" w:rsidRPr="00147EAC" w:rsidRDefault="00F0719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07196" w:rsidRPr="00147EAC" w:rsidRDefault="00F07196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F72A5" w:rsidRPr="00147EAC" w:rsidRDefault="003F72A5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C70FA" w:rsidRPr="00147EAC" w:rsidRDefault="003C70FA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C3EF0" w:rsidRPr="00147EAC" w:rsidRDefault="00EC3EF0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C3EF0" w:rsidRPr="00147EAC" w:rsidRDefault="00EC3EF0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C3EF0" w:rsidRPr="00147EAC" w:rsidRDefault="00EC3EF0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C3EF0" w:rsidRPr="00147EAC" w:rsidRDefault="00EC3EF0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0A627D" w:rsidRPr="00147EAC" w:rsidRDefault="003367B5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47EAC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                                                   </w:t>
      </w:r>
      <w:r w:rsidR="003A1A03" w:rsidRPr="00147EAC">
        <w:rPr>
          <w:rFonts w:ascii="Times New Roman" w:hAnsi="Times New Roman"/>
          <w:b/>
          <w:bCs/>
          <w:noProof/>
          <w:color w:val="000000"/>
          <w:sz w:val="24"/>
          <w:szCs w:val="24"/>
        </w:rPr>
        <w:t>м. К</w:t>
      </w:r>
      <w:r w:rsidR="002567F6" w:rsidRPr="00147EAC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иїв </w:t>
      </w:r>
      <w:r w:rsidR="003C70FA" w:rsidRPr="00147EAC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– </w:t>
      </w:r>
      <w:r w:rsidRPr="00147EAC">
        <w:rPr>
          <w:rFonts w:ascii="Times New Roman" w:hAnsi="Times New Roman"/>
          <w:b/>
          <w:bCs/>
          <w:noProof/>
          <w:color w:val="000000"/>
          <w:sz w:val="24"/>
          <w:szCs w:val="24"/>
        </w:rPr>
        <w:t>2026</w:t>
      </w:r>
    </w:p>
    <w:p w:rsidR="00ED1C4E" w:rsidRPr="00147EAC" w:rsidRDefault="00ED1C4E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D1C4E" w:rsidRPr="00147EAC" w:rsidRDefault="00ED1C4E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D1C4E" w:rsidRPr="00147EAC" w:rsidRDefault="00ED1C4E" w:rsidP="00ED1C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E2C8C" w:rsidRPr="00147EAC" w:rsidRDefault="005D0CD0" w:rsidP="00ED1C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7EAC">
        <w:rPr>
          <w:rFonts w:ascii="Times New Roman" w:hAnsi="Times New Roman"/>
          <w:sz w:val="24"/>
          <w:szCs w:val="24"/>
        </w:rPr>
        <w:lastRenderedPageBreak/>
        <w:t xml:space="preserve">Цей звіт </w:t>
      </w:r>
      <w:r w:rsidR="00DB1120" w:rsidRPr="00147EAC">
        <w:rPr>
          <w:rFonts w:ascii="Times New Roman" w:hAnsi="Times New Roman"/>
          <w:sz w:val="24"/>
          <w:szCs w:val="24"/>
        </w:rPr>
        <w:t>Комітету з управління ризиками Наглядової ради АБ «УКРГАЗБАНК»</w:t>
      </w:r>
      <w:r w:rsidRPr="00147EAC">
        <w:rPr>
          <w:rFonts w:ascii="Times New Roman" w:hAnsi="Times New Roman"/>
          <w:sz w:val="24"/>
          <w:szCs w:val="24"/>
        </w:rPr>
        <w:t xml:space="preserve"> (далі </w:t>
      </w:r>
      <w:r w:rsidR="00EC3EF0" w:rsidRPr="00147EAC">
        <w:rPr>
          <w:rFonts w:ascii="Times New Roman" w:hAnsi="Times New Roman"/>
          <w:sz w:val="24"/>
          <w:szCs w:val="24"/>
        </w:rPr>
        <w:t xml:space="preserve">– </w:t>
      </w:r>
      <w:r w:rsidRPr="00147EAC">
        <w:rPr>
          <w:rFonts w:ascii="Times New Roman" w:hAnsi="Times New Roman"/>
          <w:sz w:val="24"/>
          <w:szCs w:val="24"/>
        </w:rPr>
        <w:t xml:space="preserve"> Комітет) про результати діяльності за </w:t>
      </w:r>
      <w:r w:rsidR="003367B5" w:rsidRPr="00147EAC">
        <w:rPr>
          <w:rFonts w:ascii="Times New Roman" w:hAnsi="Times New Roman"/>
          <w:sz w:val="24"/>
          <w:szCs w:val="24"/>
        </w:rPr>
        <w:t>ІV квартал 2025 року та 2025 рік в цілому</w:t>
      </w:r>
      <w:r w:rsidR="003367B5" w:rsidRPr="00147EAC" w:rsidDel="003367B5">
        <w:rPr>
          <w:rFonts w:ascii="Times New Roman" w:hAnsi="Times New Roman"/>
          <w:sz w:val="24"/>
          <w:szCs w:val="24"/>
        </w:rPr>
        <w:t xml:space="preserve"> </w:t>
      </w:r>
      <w:r w:rsidRPr="00147EAC">
        <w:rPr>
          <w:rFonts w:ascii="Times New Roman" w:hAnsi="Times New Roman"/>
          <w:sz w:val="24"/>
          <w:szCs w:val="24"/>
        </w:rPr>
        <w:t xml:space="preserve">(далі </w:t>
      </w:r>
      <w:r w:rsidR="00EC3EF0" w:rsidRPr="00147EAC">
        <w:rPr>
          <w:rFonts w:ascii="Times New Roman" w:hAnsi="Times New Roman"/>
          <w:sz w:val="24"/>
          <w:szCs w:val="24"/>
        </w:rPr>
        <w:t xml:space="preserve">– </w:t>
      </w:r>
      <w:r w:rsidRPr="00147EAC">
        <w:rPr>
          <w:rFonts w:ascii="Times New Roman" w:hAnsi="Times New Roman"/>
          <w:sz w:val="24"/>
          <w:szCs w:val="24"/>
        </w:rPr>
        <w:t>Звіт) складений за період з 01.</w:t>
      </w:r>
      <w:r w:rsidR="004A6657">
        <w:rPr>
          <w:rFonts w:ascii="Times New Roman" w:hAnsi="Times New Roman"/>
          <w:sz w:val="24"/>
          <w:szCs w:val="24"/>
        </w:rPr>
        <w:t>10</w:t>
      </w:r>
      <w:r w:rsidRPr="00147EAC">
        <w:rPr>
          <w:rFonts w:ascii="Times New Roman" w:hAnsi="Times New Roman"/>
          <w:sz w:val="24"/>
          <w:szCs w:val="24"/>
        </w:rPr>
        <w:t>.2025 по</w:t>
      </w:r>
      <w:r w:rsidR="005D7347" w:rsidRPr="00147EAC">
        <w:rPr>
          <w:rFonts w:ascii="Times New Roman" w:hAnsi="Times New Roman"/>
          <w:sz w:val="24"/>
          <w:szCs w:val="24"/>
        </w:rPr>
        <w:t xml:space="preserve"> 3</w:t>
      </w:r>
      <w:r w:rsidR="003367B5" w:rsidRPr="00147EAC">
        <w:rPr>
          <w:rFonts w:ascii="Times New Roman" w:hAnsi="Times New Roman"/>
          <w:sz w:val="24"/>
          <w:szCs w:val="24"/>
        </w:rPr>
        <w:t>1</w:t>
      </w:r>
      <w:r w:rsidR="005D7347" w:rsidRPr="00147EAC">
        <w:rPr>
          <w:rFonts w:ascii="Times New Roman" w:hAnsi="Times New Roman"/>
          <w:sz w:val="24"/>
          <w:szCs w:val="24"/>
        </w:rPr>
        <w:t>.</w:t>
      </w:r>
      <w:r w:rsidR="003367B5" w:rsidRPr="00147EAC">
        <w:rPr>
          <w:rFonts w:ascii="Times New Roman" w:hAnsi="Times New Roman"/>
          <w:sz w:val="24"/>
          <w:szCs w:val="24"/>
        </w:rPr>
        <w:t>12</w:t>
      </w:r>
      <w:r w:rsidRPr="00147EAC">
        <w:rPr>
          <w:rFonts w:ascii="Times New Roman" w:hAnsi="Times New Roman"/>
          <w:sz w:val="24"/>
          <w:szCs w:val="24"/>
        </w:rPr>
        <w:t>.2025 включно</w:t>
      </w:r>
      <w:r w:rsidR="00A64E18" w:rsidRPr="00147EAC">
        <w:rPr>
          <w:rFonts w:ascii="Times New Roman" w:hAnsi="Times New Roman"/>
          <w:sz w:val="24"/>
          <w:szCs w:val="24"/>
        </w:rPr>
        <w:t>, а також за 2025 рік в цілому</w:t>
      </w:r>
      <w:r w:rsidRPr="00147EAC">
        <w:rPr>
          <w:rFonts w:ascii="Times New Roman" w:hAnsi="Times New Roman"/>
          <w:sz w:val="24"/>
          <w:szCs w:val="24"/>
        </w:rPr>
        <w:t>.</w:t>
      </w:r>
    </w:p>
    <w:p w:rsidR="00EF5DF6" w:rsidRPr="00147EAC" w:rsidRDefault="00EF5DF6" w:rsidP="00ED1C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70FA" w:rsidRPr="00147EAC" w:rsidRDefault="00866B57" w:rsidP="00ED1C4E">
      <w:pPr>
        <w:pStyle w:val="Default"/>
        <w:numPr>
          <w:ilvl w:val="0"/>
          <w:numId w:val="2"/>
        </w:numPr>
        <w:jc w:val="both"/>
        <w:rPr>
          <w:rFonts w:eastAsia="Times New Roman"/>
          <w:b/>
          <w:bCs/>
          <w:color w:val="auto"/>
          <w:lang w:val="uk-UA" w:eastAsia="uk-UA"/>
        </w:rPr>
      </w:pPr>
      <w:r w:rsidRPr="00147EAC">
        <w:rPr>
          <w:rFonts w:eastAsia="Times New Roman"/>
          <w:b/>
          <w:bCs/>
          <w:color w:val="auto"/>
          <w:lang w:val="uk-UA" w:eastAsia="uk-UA"/>
        </w:rPr>
        <w:t xml:space="preserve">Щодо </w:t>
      </w:r>
      <w:r w:rsidR="00EE2C8C" w:rsidRPr="00147EAC">
        <w:rPr>
          <w:rFonts w:eastAsia="Times New Roman"/>
          <w:b/>
          <w:bCs/>
          <w:color w:val="auto"/>
          <w:lang w:val="uk-UA" w:eastAsia="uk-UA"/>
        </w:rPr>
        <w:t xml:space="preserve"> персональн</w:t>
      </w:r>
      <w:r w:rsidRPr="00147EAC">
        <w:rPr>
          <w:rFonts w:eastAsia="Times New Roman"/>
          <w:b/>
          <w:bCs/>
          <w:color w:val="auto"/>
          <w:lang w:val="uk-UA" w:eastAsia="uk-UA"/>
        </w:rPr>
        <w:t>ого</w:t>
      </w:r>
      <w:r w:rsidR="00EE2C8C" w:rsidRPr="00147EAC">
        <w:rPr>
          <w:rFonts w:eastAsia="Times New Roman"/>
          <w:b/>
          <w:bCs/>
          <w:color w:val="auto"/>
          <w:lang w:val="uk-UA" w:eastAsia="uk-UA"/>
        </w:rPr>
        <w:t xml:space="preserve"> склад</w:t>
      </w:r>
      <w:r w:rsidRPr="00147EAC">
        <w:rPr>
          <w:rFonts w:eastAsia="Times New Roman"/>
          <w:b/>
          <w:bCs/>
          <w:color w:val="auto"/>
          <w:lang w:val="uk-UA" w:eastAsia="uk-UA"/>
        </w:rPr>
        <w:t>у</w:t>
      </w:r>
      <w:r w:rsidR="00EE2C8C" w:rsidRPr="00147EAC">
        <w:rPr>
          <w:rFonts w:eastAsia="Times New Roman"/>
          <w:b/>
          <w:bCs/>
          <w:color w:val="auto"/>
          <w:lang w:val="uk-UA" w:eastAsia="uk-UA"/>
        </w:rPr>
        <w:t xml:space="preserve"> Комітету </w:t>
      </w:r>
    </w:p>
    <w:p w:rsidR="00EC3EF0" w:rsidRPr="00147EAC" w:rsidRDefault="00EC3EF0" w:rsidP="00ED1C4E">
      <w:pPr>
        <w:pStyle w:val="Default"/>
        <w:ind w:left="927"/>
        <w:jc w:val="both"/>
        <w:rPr>
          <w:rFonts w:eastAsia="Times New Roman"/>
          <w:b/>
          <w:bCs/>
          <w:color w:val="auto"/>
          <w:lang w:val="uk-UA" w:eastAsia="uk-UA"/>
        </w:rPr>
      </w:pPr>
    </w:p>
    <w:p w:rsidR="005D0CD0" w:rsidRPr="00147EAC" w:rsidRDefault="005D0CD0" w:rsidP="00ED1C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Комітет сформований із членів Наглядової ради АБ «УКРГАЗБАНК» (далі</w:t>
      </w:r>
      <w:r w:rsidR="00D60AFF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, також, 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Банк) та складається з трьох членів Наглядової ради</w:t>
      </w:r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Банку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, більшість із яких, включно з Головою, є незалежними.</w:t>
      </w:r>
    </w:p>
    <w:p w:rsidR="005D0CD0" w:rsidRPr="00147EAC" w:rsidRDefault="006D0390" w:rsidP="00ED1C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hAnsi="Times New Roman"/>
          <w:sz w:val="24"/>
          <w:szCs w:val="24"/>
        </w:rPr>
        <w:t xml:space="preserve">Протягом </w:t>
      </w:r>
      <w:r w:rsidR="003367B5" w:rsidRPr="00147EAC">
        <w:rPr>
          <w:rFonts w:ascii="Times New Roman" w:hAnsi="Times New Roman"/>
          <w:sz w:val="24"/>
          <w:szCs w:val="24"/>
        </w:rPr>
        <w:t>ІV квартал</w:t>
      </w:r>
      <w:r w:rsidRPr="00147EAC">
        <w:rPr>
          <w:rFonts w:ascii="Times New Roman" w:hAnsi="Times New Roman"/>
          <w:sz w:val="24"/>
          <w:szCs w:val="24"/>
        </w:rPr>
        <w:t>у</w:t>
      </w:r>
      <w:r w:rsidR="003367B5" w:rsidRPr="00147EAC">
        <w:rPr>
          <w:rFonts w:ascii="Times New Roman" w:hAnsi="Times New Roman"/>
          <w:sz w:val="24"/>
          <w:szCs w:val="24"/>
        </w:rPr>
        <w:t xml:space="preserve"> 2025 року та 2025 р</w:t>
      </w:r>
      <w:r w:rsidRPr="00147EAC">
        <w:rPr>
          <w:rFonts w:ascii="Times New Roman" w:hAnsi="Times New Roman"/>
          <w:sz w:val="24"/>
          <w:szCs w:val="24"/>
        </w:rPr>
        <w:t>оку</w:t>
      </w:r>
      <w:r w:rsidR="003367B5" w:rsidRPr="00147EAC">
        <w:rPr>
          <w:rFonts w:ascii="Times New Roman" w:hAnsi="Times New Roman"/>
          <w:sz w:val="24"/>
          <w:szCs w:val="24"/>
        </w:rPr>
        <w:t xml:space="preserve"> в цілому</w:t>
      </w:r>
      <w:r w:rsidR="005D0CD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Комітет виконував свої обов’язки у такому складі (рішення Наглядової ради </w:t>
      </w:r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Банку </w:t>
      </w:r>
      <w:r w:rsidR="005D0CD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від </w:t>
      </w:r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07.02.2024 (протокол </w:t>
      </w:r>
      <w:r w:rsidR="005D0CD0" w:rsidRPr="00147EAC">
        <w:rPr>
          <w:rFonts w:ascii="Times New Roman" w:eastAsia="Times New Roman" w:hAnsi="Times New Roman"/>
          <w:sz w:val="24"/>
          <w:szCs w:val="24"/>
          <w:lang w:eastAsia="uk-UA"/>
        </w:rPr>
        <w:t>№</w:t>
      </w:r>
      <w:r w:rsidR="00D60AFF" w:rsidRPr="00147EAC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="005D0CD0" w:rsidRPr="00147EAC">
        <w:rPr>
          <w:rFonts w:ascii="Times New Roman" w:eastAsia="Times New Roman" w:hAnsi="Times New Roman"/>
          <w:sz w:val="24"/>
          <w:szCs w:val="24"/>
          <w:lang w:eastAsia="uk-UA"/>
        </w:rPr>
        <w:t>):</w:t>
      </w:r>
    </w:p>
    <w:p w:rsidR="005D0CD0" w:rsidRPr="00147EAC" w:rsidRDefault="005D0CD0" w:rsidP="00ED1C4E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Голова Комітету </w:t>
      </w:r>
      <w:r w:rsidR="00EC3EF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>Юрій БЛАЩУК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, незалежний член Наглядової ради</w:t>
      </w:r>
      <w:r w:rsidR="00D60AFF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Банку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D0CD0" w:rsidRPr="00147EAC" w:rsidRDefault="005D0CD0" w:rsidP="00ED1C4E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член Комітету </w:t>
      </w:r>
      <w:r w:rsidR="00EC3EF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Пер </w:t>
      </w:r>
      <w:proofErr w:type="spellStart"/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>Андерс</w:t>
      </w:r>
      <w:proofErr w:type="spellEnd"/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ФАСТ, 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незалежний член Наглядової ради</w:t>
      </w:r>
      <w:r w:rsidR="00D60AFF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Банку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D0CD0" w:rsidRPr="00147EAC" w:rsidRDefault="005D0CD0" w:rsidP="00ED1C4E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член Комітету </w:t>
      </w:r>
      <w:r w:rsidR="00EC3EF0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DB1120" w:rsidRPr="00147EAC">
        <w:rPr>
          <w:rFonts w:ascii="Times New Roman" w:eastAsia="Times New Roman" w:hAnsi="Times New Roman"/>
          <w:sz w:val="24"/>
          <w:szCs w:val="24"/>
          <w:lang w:eastAsia="uk-UA"/>
        </w:rPr>
        <w:t>Марина ЛАЗЕБНА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, член Наглядової ради</w:t>
      </w:r>
      <w:r w:rsidR="00D60AFF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Банку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D0CD0" w:rsidRPr="00147EAC" w:rsidRDefault="005D0CD0" w:rsidP="00ED1C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У </w:t>
      </w:r>
      <w:r w:rsidR="00A64E18" w:rsidRPr="00147EAC">
        <w:rPr>
          <w:rFonts w:ascii="Times New Roman" w:hAnsi="Times New Roman"/>
          <w:sz w:val="24"/>
          <w:szCs w:val="24"/>
        </w:rPr>
        <w:t xml:space="preserve">ІV кварталі 2025 року </w:t>
      </w:r>
      <w:r w:rsidR="003367B5" w:rsidRPr="00147EAC">
        <w:rPr>
          <w:rFonts w:ascii="Times New Roman" w:hAnsi="Times New Roman"/>
          <w:sz w:val="24"/>
          <w:szCs w:val="24"/>
        </w:rPr>
        <w:t>та 2025 році в цілому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змін у складі Комітету не відбулося.</w:t>
      </w:r>
    </w:p>
    <w:p w:rsidR="00A95238" w:rsidRPr="00147EAC" w:rsidRDefault="00A95238" w:rsidP="00ED1C4E">
      <w:pPr>
        <w:pStyle w:val="Default"/>
        <w:jc w:val="both"/>
        <w:rPr>
          <w:color w:val="auto"/>
          <w:lang w:val="uk-UA"/>
        </w:rPr>
      </w:pPr>
    </w:p>
    <w:p w:rsidR="006B5537" w:rsidRPr="00147EAC" w:rsidRDefault="00EC3EF0" w:rsidP="00ED1C4E">
      <w:pPr>
        <w:pStyle w:val="Default"/>
        <w:numPr>
          <w:ilvl w:val="0"/>
          <w:numId w:val="2"/>
        </w:numPr>
        <w:ind w:hanging="219"/>
        <w:jc w:val="both"/>
        <w:rPr>
          <w:b/>
          <w:color w:val="auto"/>
          <w:lang w:val="uk-UA"/>
        </w:rPr>
      </w:pPr>
      <w:r w:rsidRPr="00147EAC">
        <w:rPr>
          <w:b/>
          <w:color w:val="auto"/>
          <w:lang w:val="uk-UA"/>
        </w:rPr>
        <w:t xml:space="preserve"> </w:t>
      </w:r>
      <w:r w:rsidR="00866B57" w:rsidRPr="00147EAC">
        <w:rPr>
          <w:b/>
          <w:color w:val="auto"/>
          <w:lang w:val="uk-UA"/>
        </w:rPr>
        <w:t xml:space="preserve">Щодо </w:t>
      </w:r>
      <w:r w:rsidR="006B5537" w:rsidRPr="00147EAC">
        <w:rPr>
          <w:b/>
          <w:color w:val="auto"/>
          <w:lang w:val="uk-UA"/>
        </w:rPr>
        <w:t>кільк</w:t>
      </w:r>
      <w:r w:rsidR="00866B57" w:rsidRPr="00147EAC">
        <w:rPr>
          <w:b/>
          <w:color w:val="auto"/>
          <w:lang w:val="uk-UA"/>
        </w:rPr>
        <w:t>ості</w:t>
      </w:r>
      <w:r w:rsidR="005D0CD0" w:rsidRPr="00147EAC">
        <w:rPr>
          <w:b/>
          <w:color w:val="auto"/>
          <w:lang w:val="uk-UA"/>
        </w:rPr>
        <w:t xml:space="preserve"> </w:t>
      </w:r>
      <w:r w:rsidR="006B5537" w:rsidRPr="00147EAC">
        <w:rPr>
          <w:b/>
          <w:color w:val="auto"/>
          <w:lang w:val="uk-UA"/>
        </w:rPr>
        <w:t xml:space="preserve">проведених засідань Комітету </w:t>
      </w:r>
    </w:p>
    <w:p w:rsidR="00D17A5D" w:rsidRPr="00147EAC" w:rsidRDefault="00D17A5D" w:rsidP="00ED1C4E">
      <w:pPr>
        <w:pStyle w:val="Default"/>
        <w:ind w:left="927" w:hanging="219"/>
        <w:jc w:val="both"/>
        <w:rPr>
          <w:b/>
          <w:color w:val="auto"/>
          <w:lang w:val="uk-UA"/>
        </w:rPr>
      </w:pPr>
    </w:p>
    <w:p w:rsidR="00E073D6" w:rsidRPr="00147EAC" w:rsidRDefault="007B4C29" w:rsidP="00ED1C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Протягом </w:t>
      </w:r>
      <w:r w:rsidR="007D79F5" w:rsidRPr="00147EAC">
        <w:rPr>
          <w:rFonts w:ascii="Times New Roman" w:hAnsi="Times New Roman"/>
          <w:sz w:val="24"/>
          <w:szCs w:val="24"/>
        </w:rPr>
        <w:t xml:space="preserve">ІV кварталу 2025 року </w:t>
      </w:r>
      <w:r w:rsidR="00BE20BD" w:rsidRPr="00147EAC">
        <w:rPr>
          <w:rFonts w:ascii="Times New Roman" w:hAnsi="Times New Roman"/>
          <w:sz w:val="24"/>
          <w:szCs w:val="24"/>
        </w:rPr>
        <w:t>та 2025 року в цілому</w:t>
      </w:r>
      <w:r w:rsidRPr="00147EA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Комітет здійснював свою роботу шляхом проведення засідань 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Комітету у формі спільної присутності, зокрема, із використанням засобів електронного зв’язку (відео- та голосових конференцій тощо) </w:t>
      </w:r>
      <w:r w:rsidRPr="00147EAC">
        <w:rPr>
          <w:rFonts w:ascii="Times New Roman" w:eastAsia="Times New Roman" w:hAnsi="Times New Roman"/>
          <w:bCs/>
          <w:sz w:val="24"/>
          <w:szCs w:val="24"/>
          <w:lang w:eastAsia="uk-UA"/>
        </w:rPr>
        <w:t>(далі, також, засідання) або шляхом заочного голосування (методом опитування) (далі, також,  заочні голосу</w:t>
      </w:r>
      <w:r w:rsidR="005D7347" w:rsidRPr="00147EAC">
        <w:rPr>
          <w:rFonts w:ascii="Times New Roman" w:eastAsia="Times New Roman" w:hAnsi="Times New Roman"/>
          <w:bCs/>
          <w:sz w:val="24"/>
          <w:szCs w:val="24"/>
          <w:lang w:eastAsia="uk-UA"/>
        </w:rPr>
        <w:t>вання)</w:t>
      </w:r>
      <w:r w:rsidR="00E073D6" w:rsidRPr="00147EAC">
        <w:rPr>
          <w:rFonts w:ascii="Times New Roman" w:eastAsia="Times New Roman" w:hAnsi="Times New Roman"/>
          <w:bCs/>
          <w:sz w:val="24"/>
          <w:szCs w:val="24"/>
          <w:lang w:eastAsia="uk-UA"/>
        </w:rPr>
        <w:t>, а саме: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1"/>
        <w:gridCol w:w="1794"/>
        <w:gridCol w:w="1245"/>
      </w:tblGrid>
      <w:tr w:rsidR="00107D1F" w:rsidRPr="00147EAC" w:rsidTr="00107D1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IV квартал 2025 року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F6" w:rsidRDefault="00107D1F" w:rsidP="003A0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2025 рік </w:t>
            </w:r>
          </w:p>
          <w:p w:rsidR="00107D1F" w:rsidRPr="00147EAC" w:rsidRDefault="00107D1F" w:rsidP="003A0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 цілому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1. Всього кількість засідань (результати засідань оформлені протоколами), в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35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1.1. кількість засідань</w:t>
            </w:r>
            <w:r w:rsidRPr="00147EA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формі спільної присутності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22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1.2. кількість заочних голосувань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13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2. Всього кількість розглянутих питань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777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21</w:t>
            </w:r>
            <w:r w:rsidR="007777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2.1. Кількість питань, розглянутих на засіданнях</w:t>
            </w:r>
            <w:r w:rsidRPr="00147EA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формі спільної присутності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7777E8" w:rsidRDefault="00107D1F" w:rsidP="00777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17</w:t>
            </w:r>
            <w:r w:rsidR="007777E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2.2. Кількість питань, розглянутих під час заочних голосувань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39</w:t>
            </w:r>
          </w:p>
        </w:tc>
      </w:tr>
      <w:tr w:rsidR="00107D1F" w:rsidRPr="00147EAC" w:rsidTr="001A21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3. Участь членів Комітету</w:t>
            </w: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147E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у засіданнях (відвідуваність)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A216D" w:rsidRPr="00147EAC" w:rsidRDefault="00107D1F" w:rsidP="000D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EAC">
              <w:rPr>
                <w:rFonts w:ascii="Times New Roman" w:hAnsi="Times New Roman"/>
                <w:b/>
                <w:sz w:val="24"/>
                <w:szCs w:val="24"/>
              </w:rPr>
              <w:t>Коефіцієнт</w:t>
            </w:r>
          </w:p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hAnsi="Times New Roman"/>
                <w:b/>
                <w:sz w:val="24"/>
                <w:szCs w:val="24"/>
              </w:rPr>
              <w:t>участі (в</w:t>
            </w:r>
            <w:r w:rsidRPr="00147EA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ідвідуваності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Юрій БЛАЩУК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 / 8 (100%)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35 / 35 (100%)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Пер </w:t>
            </w:r>
            <w:proofErr w:type="spellStart"/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Андерс</w:t>
            </w:r>
            <w:proofErr w:type="spellEnd"/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ФАСТ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 / 8 (100%)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35 / 35 (100%)</w:t>
            </w:r>
          </w:p>
        </w:tc>
      </w:tr>
      <w:tr w:rsidR="00107D1F" w:rsidRPr="00147EAC" w:rsidTr="00107D1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ED1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Марина ЛАЗЕБНА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 / 8 (100%)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D1F" w:rsidRPr="00147EAC" w:rsidRDefault="00107D1F" w:rsidP="000D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147E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35 / 35 (100%)</w:t>
            </w:r>
          </w:p>
        </w:tc>
      </w:tr>
    </w:tbl>
    <w:p w:rsidR="00CC4103" w:rsidRPr="00147EAC" w:rsidRDefault="00CC4103" w:rsidP="00ED1C4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E61109" w:rsidRPr="00147EAC" w:rsidRDefault="00866B57" w:rsidP="00ED1C4E">
      <w:pPr>
        <w:pStyle w:val="Default"/>
        <w:numPr>
          <w:ilvl w:val="0"/>
          <w:numId w:val="2"/>
        </w:numPr>
        <w:jc w:val="both"/>
        <w:rPr>
          <w:b/>
          <w:color w:val="auto"/>
          <w:lang w:val="uk-UA"/>
        </w:rPr>
      </w:pPr>
      <w:r w:rsidRPr="00147EAC">
        <w:rPr>
          <w:b/>
          <w:color w:val="auto"/>
          <w:lang w:val="uk-UA"/>
        </w:rPr>
        <w:t>Щодо о</w:t>
      </w:r>
      <w:r w:rsidR="00E61109" w:rsidRPr="00147EAC">
        <w:rPr>
          <w:b/>
          <w:color w:val="auto"/>
          <w:lang w:val="uk-UA"/>
        </w:rPr>
        <w:t>сновн</w:t>
      </w:r>
      <w:r w:rsidRPr="00147EAC">
        <w:rPr>
          <w:b/>
          <w:color w:val="auto"/>
          <w:lang w:val="uk-UA"/>
        </w:rPr>
        <w:t>ої</w:t>
      </w:r>
      <w:r w:rsidR="00E61109" w:rsidRPr="00147EAC">
        <w:rPr>
          <w:b/>
          <w:color w:val="auto"/>
          <w:lang w:val="uk-UA"/>
        </w:rPr>
        <w:t xml:space="preserve"> діяльн</w:t>
      </w:r>
      <w:r w:rsidRPr="00147EAC">
        <w:rPr>
          <w:b/>
          <w:color w:val="auto"/>
          <w:lang w:val="uk-UA"/>
        </w:rPr>
        <w:t>ості</w:t>
      </w:r>
      <w:r w:rsidR="00E61109" w:rsidRPr="00147EAC">
        <w:rPr>
          <w:b/>
          <w:color w:val="auto"/>
          <w:lang w:val="uk-UA"/>
        </w:rPr>
        <w:t xml:space="preserve"> Комітету</w:t>
      </w:r>
    </w:p>
    <w:p w:rsidR="00D17A5D" w:rsidRPr="00147EAC" w:rsidRDefault="00D17A5D" w:rsidP="00ED1C4E">
      <w:pPr>
        <w:pStyle w:val="Default"/>
        <w:ind w:left="927"/>
        <w:jc w:val="both"/>
        <w:rPr>
          <w:b/>
          <w:color w:val="auto"/>
          <w:lang w:val="uk-UA"/>
        </w:rPr>
      </w:pPr>
    </w:p>
    <w:p w:rsidR="00873919" w:rsidRPr="00147EAC" w:rsidRDefault="00E61109" w:rsidP="00ED1C4E">
      <w:pPr>
        <w:pStyle w:val="af5"/>
        <w:spacing w:before="0" w:beforeAutospacing="0" w:after="0" w:afterAutospacing="0"/>
        <w:ind w:firstLine="567"/>
        <w:jc w:val="both"/>
      </w:pPr>
      <w:r w:rsidRPr="00147EAC">
        <w:t>Комітет є постійним консультативно-дорадчим органом Наглядової ради Банку, що створений Наглядовою радою Банку (</w:t>
      </w:r>
      <w:r w:rsidRPr="00147EAC">
        <w:rPr>
          <w:lang w:eastAsia="ru-RU"/>
        </w:rPr>
        <w:t>рішення від 11.</w:t>
      </w:r>
      <w:r w:rsidR="00720812">
        <w:rPr>
          <w:lang w:eastAsia="ru-RU"/>
        </w:rPr>
        <w:t>03</w:t>
      </w:r>
      <w:r w:rsidRPr="00147EAC">
        <w:rPr>
          <w:lang w:eastAsia="ru-RU"/>
        </w:rPr>
        <w:t>.201</w:t>
      </w:r>
      <w:r w:rsidR="00720812">
        <w:rPr>
          <w:lang w:eastAsia="ru-RU"/>
        </w:rPr>
        <w:t>6 (протокол №</w:t>
      </w:r>
      <w:r w:rsidRPr="00147EAC">
        <w:rPr>
          <w:lang w:eastAsia="ru-RU"/>
        </w:rPr>
        <w:t xml:space="preserve">3)) </w:t>
      </w:r>
      <w:r w:rsidRPr="00147EAC">
        <w:t xml:space="preserve">для </w:t>
      </w:r>
      <w:r w:rsidRPr="00147EAC">
        <w:lastRenderedPageBreak/>
        <w:t>попереднього вивчення і підготовки до розгляду на засіданнях Наглядової ради питань, що належать до її компетенції</w:t>
      </w:r>
      <w:r w:rsidR="00416E0C" w:rsidRPr="00147EAC">
        <w:t>, відповідно до визначених мети та основних завдань Комітету</w:t>
      </w:r>
      <w:r w:rsidR="00873919" w:rsidRPr="00147EAC">
        <w:t>, а також для виконання функцій з управління ризиками, делегованих Комітету.</w:t>
      </w:r>
    </w:p>
    <w:p w:rsidR="00EC3EF0" w:rsidRPr="00147EAC" w:rsidRDefault="00EC3EF0" w:rsidP="00ED1C4E">
      <w:pPr>
        <w:pStyle w:val="Default"/>
        <w:ind w:firstLine="567"/>
        <w:jc w:val="both"/>
        <w:rPr>
          <w:color w:val="auto"/>
          <w:lang w:val="uk-UA"/>
        </w:rPr>
      </w:pPr>
      <w:r w:rsidRPr="00147EAC">
        <w:rPr>
          <w:lang w:val="uk-UA"/>
        </w:rPr>
        <w:t xml:space="preserve">Діяльність Комітету здійснюється відповідно до </w:t>
      </w:r>
      <w:r w:rsidRPr="00147EAC">
        <w:rPr>
          <w:rStyle w:val="af3"/>
          <w:b w:val="0"/>
          <w:lang w:val="uk-UA"/>
        </w:rPr>
        <w:t xml:space="preserve">Положення </w:t>
      </w:r>
      <w:r w:rsidR="00873919" w:rsidRPr="00147EAC">
        <w:rPr>
          <w:lang w:val="uk-UA"/>
        </w:rPr>
        <w:t xml:space="preserve">про Комітет з управління ризиками Наглядової ради ПУБЛІЧНОГО АКЦІОНЕРНОГО ТОВАРИСТВА АКЦІОНЕРНОГО БАНКУ «УКРГАЗБАНК», </w:t>
      </w:r>
      <w:r w:rsidRPr="00147EAC">
        <w:rPr>
          <w:lang w:val="uk-UA"/>
        </w:rPr>
        <w:t xml:space="preserve">затвердженого рішенням Наглядової ради від 07.02.2024 (протокол №3) (далі </w:t>
      </w:r>
      <w:r w:rsidR="00EF5DF6" w:rsidRPr="00147EAC">
        <w:rPr>
          <w:lang w:val="uk-UA"/>
        </w:rPr>
        <w:t xml:space="preserve">– </w:t>
      </w:r>
      <w:r w:rsidRPr="00147EAC">
        <w:rPr>
          <w:lang w:val="uk-UA"/>
        </w:rPr>
        <w:t xml:space="preserve"> Положення про Комітет).</w:t>
      </w:r>
    </w:p>
    <w:p w:rsidR="00873919" w:rsidRPr="00147EAC" w:rsidRDefault="00A95238" w:rsidP="00ED1C4E">
      <w:pPr>
        <w:pStyle w:val="af5"/>
        <w:spacing w:before="0" w:beforeAutospacing="0" w:after="0" w:afterAutospacing="0"/>
        <w:ind w:firstLine="567"/>
        <w:jc w:val="both"/>
      </w:pPr>
      <w:r w:rsidRPr="00147EAC">
        <w:t xml:space="preserve">Положення про Комітет розміщено на офіційному </w:t>
      </w:r>
      <w:proofErr w:type="spellStart"/>
      <w:r w:rsidRPr="00147EAC">
        <w:t>вебсайті</w:t>
      </w:r>
      <w:proofErr w:type="spellEnd"/>
      <w:r w:rsidRPr="00147EAC">
        <w:t xml:space="preserve"> Банку: </w:t>
      </w:r>
      <w:hyperlink r:id="rId8" w:tgtFrame="_blank" w:history="1">
        <w:r w:rsidR="00873919" w:rsidRPr="00147EAC">
          <w:rPr>
            <w:color w:val="0000FF"/>
            <w:u w:val="single"/>
          </w:rPr>
          <w:t>https://www.ukrgasbank.com/about/corporate_management/supervisory_council/ryzyk_com</w:t>
        </w:r>
      </w:hyperlink>
      <w:r w:rsidR="00873919" w:rsidRPr="00147EAC">
        <w:t>.</w:t>
      </w:r>
    </w:p>
    <w:p w:rsidR="007D79F5" w:rsidRPr="00147EAC" w:rsidRDefault="0054775A" w:rsidP="00ED1C4E">
      <w:pPr>
        <w:pStyle w:val="af5"/>
        <w:spacing w:before="0" w:beforeAutospacing="0" w:after="0" w:afterAutospacing="0"/>
        <w:ind w:firstLine="567"/>
        <w:jc w:val="both"/>
      </w:pPr>
      <w:r w:rsidRPr="00147EAC">
        <w:t xml:space="preserve">У </w:t>
      </w:r>
      <w:r w:rsidR="00107D1F" w:rsidRPr="00147EAC">
        <w:t xml:space="preserve">ІV кварталі 2025 року </w:t>
      </w:r>
      <w:r w:rsidR="007D79F5" w:rsidRPr="00147EAC">
        <w:t xml:space="preserve">та 2025 році в цілому </w:t>
      </w:r>
      <w:r w:rsidRPr="00147EAC">
        <w:t xml:space="preserve"> Комітет </w:t>
      </w:r>
      <w:r w:rsidR="006B5537" w:rsidRPr="00147EAC">
        <w:t>належним чином виконував свої функції та повноваження</w:t>
      </w:r>
      <w:r w:rsidR="00EF5E98" w:rsidRPr="00147EAC">
        <w:t>, в</w:t>
      </w:r>
      <w:r w:rsidR="000D1F0F" w:rsidRPr="00147EAC">
        <w:t>изначені Положенням про Комітет, а саме:</w:t>
      </w:r>
    </w:p>
    <w:p w:rsidR="007F57BF" w:rsidRPr="00147EAC" w:rsidRDefault="007F57BF" w:rsidP="00ED1C4E">
      <w:pPr>
        <w:pStyle w:val="af5"/>
        <w:spacing w:before="0" w:beforeAutospacing="0" w:after="0" w:afterAutospacing="0"/>
        <w:ind w:firstLine="567"/>
        <w:jc w:val="both"/>
      </w:pPr>
    </w:p>
    <w:p w:rsidR="007D79F5" w:rsidRPr="00147EAC" w:rsidRDefault="00642154" w:rsidP="00ED1C4E">
      <w:pPr>
        <w:pStyle w:val="af5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rPr>
          <w:b/>
        </w:rPr>
      </w:pPr>
      <w:r w:rsidRPr="003A0EF6">
        <w:rPr>
          <w:b/>
          <w:u w:val="single"/>
        </w:rPr>
        <w:t>Протягом ІV кварталу 2025 року</w:t>
      </w:r>
      <w:r w:rsidRPr="00147EAC">
        <w:rPr>
          <w:b/>
        </w:rPr>
        <w:t xml:space="preserve"> Комітетом було розглянуто</w:t>
      </w:r>
      <w:r w:rsidR="006D0390" w:rsidRPr="00147EAC">
        <w:rPr>
          <w:b/>
        </w:rPr>
        <w:t xml:space="preserve"> /попередньо розглянуто питання/надано рекомендації Наглядовій раді Банку для прийняття відповідних рішень</w:t>
      </w:r>
      <w:r w:rsidRPr="00147EAC">
        <w:rPr>
          <w:b/>
        </w:rPr>
        <w:t xml:space="preserve">, зокрема, </w:t>
      </w:r>
      <w:r w:rsidR="005A63C2" w:rsidRPr="00147EAC">
        <w:rPr>
          <w:b/>
        </w:rPr>
        <w:t>щодо</w:t>
      </w:r>
      <w:r w:rsidRPr="00147EAC">
        <w:rPr>
          <w:b/>
        </w:rPr>
        <w:t>:</w:t>
      </w:r>
    </w:p>
    <w:p w:rsidR="007F57BF" w:rsidRPr="00147EAC" w:rsidRDefault="007F57BF" w:rsidP="00ED1C4E">
      <w:pPr>
        <w:pStyle w:val="af5"/>
        <w:spacing w:before="0" w:beforeAutospacing="0" w:after="0" w:afterAutospacing="0"/>
        <w:ind w:left="1080"/>
        <w:jc w:val="both"/>
        <w:rPr>
          <w:u w:val="single"/>
        </w:rPr>
      </w:pPr>
    </w:p>
    <w:p w:rsidR="000D1F0F" w:rsidRPr="00147EAC" w:rsidRDefault="000D1F0F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Стратегії управління непрацюючими активами та стягнутим майном АБ «УКРГАЗБАНК» на 2026–2028 роки.</w:t>
      </w:r>
    </w:p>
    <w:p w:rsidR="000D1F0F" w:rsidRPr="00147EAC" w:rsidRDefault="000D1F0F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Декларації схильності до ризиків АБ «УКРГАЗБАНК» на 2026 рік.</w:t>
      </w:r>
    </w:p>
    <w:p w:rsidR="000D1F0F" w:rsidRPr="00147EAC" w:rsidRDefault="000D1F0F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Програми фінансування АБ «УКРГАЗБАНК» на 2026 рік.</w:t>
      </w:r>
    </w:p>
    <w:p w:rsidR="00147EAC" w:rsidRPr="00147EAC" w:rsidRDefault="00147EAC" w:rsidP="00DF0FB4">
      <w:pPr>
        <w:pStyle w:val="a0"/>
        <w:numPr>
          <w:ilvl w:val="0"/>
          <w:numId w:val="20"/>
        </w:numPr>
        <w:jc w:val="both"/>
        <w:rPr>
          <w:sz w:val="24"/>
          <w:szCs w:val="24"/>
          <w:lang w:val="uk-UA" w:eastAsia="uk-UA"/>
        </w:rPr>
      </w:pPr>
      <w:r w:rsidRPr="00147EAC">
        <w:rPr>
          <w:sz w:val="24"/>
          <w:szCs w:val="24"/>
          <w:lang w:val="uk-UA" w:eastAsia="uk-UA"/>
        </w:rPr>
        <w:t xml:space="preserve">Переліку лімітів </w:t>
      </w:r>
      <w:r w:rsidRPr="00147EAC">
        <w:rPr>
          <w:sz w:val="24"/>
          <w:szCs w:val="24"/>
          <w:highlight w:val="white"/>
          <w:lang w:val="uk-UA" w:eastAsia="uk-UA"/>
        </w:rPr>
        <w:t xml:space="preserve">(обмежень) щодо кожного виду ризику </w:t>
      </w:r>
      <w:r w:rsidRPr="00147EAC">
        <w:rPr>
          <w:sz w:val="24"/>
          <w:szCs w:val="24"/>
          <w:lang w:val="uk-UA" w:eastAsia="uk-UA"/>
        </w:rPr>
        <w:t>у новій редакції</w:t>
      </w:r>
      <w:r w:rsidRPr="00147EAC">
        <w:rPr>
          <w:sz w:val="24"/>
          <w:szCs w:val="24"/>
          <w:highlight w:val="white"/>
          <w:lang w:val="uk-UA" w:eastAsia="uk-UA"/>
        </w:rPr>
        <w:t>.</w:t>
      </w:r>
    </w:p>
    <w:p w:rsidR="000D1F0F" w:rsidRPr="00147EAC" w:rsidRDefault="000D1F0F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Плану забезпечення безперервності діяльності АБ «УКРГАЗБАНК» у новій редакції. 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безперервною діяльністю АБ «УКРГАЗБАНК».</w:t>
      </w:r>
    </w:p>
    <w:p w:rsidR="000D1F0F" w:rsidRPr="00147EAC" w:rsidRDefault="000D1F0F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ризиком інформаційної безпеки в АБ «УКРГАЗБАНК».</w:t>
      </w:r>
    </w:p>
    <w:p w:rsidR="00147EAC" w:rsidRPr="00147EAC" w:rsidRDefault="00147EAC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 до Політики запобігання, виявлення та управління конфліктами інтересів в АБ «УКРГАЗБАНК».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Положення про порядок здійснення операцій з пов’язаними з АБ «УКРГАЗБАНК» особами у новій редакції.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Положення про реструктуризацію непрацюючих активів в АБ «УКРГАЗБАНК» у новій редакції.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Положення про департамент фінансового моніторингу АБ «УКРГАЗБАНК» у новій редакції.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 до Положення про порядок списання безнадійної заборгованості в АБ «УКРГАЗБАНК».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 до Положення про механізм конфіденційного повідомлення про неприйнятну поведінку / порушення в діяльності АБ «УКРГАЗБАНК».</w:t>
      </w:r>
    </w:p>
    <w:p w:rsidR="00147EAC" w:rsidRPr="00147EAC" w:rsidRDefault="00147EAC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Оперативного плану управління непрацюючими активами та стягнутим майном АБ «УКРГАЗБАНК» на 2026 рік.</w:t>
      </w:r>
    </w:p>
    <w:p w:rsidR="00ED1C4E" w:rsidRPr="00147EAC" w:rsidRDefault="00ED1C4E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Змін до організаційної структури головної установи Банку </w:t>
      </w:r>
    </w:p>
    <w:p w:rsidR="00ED1C4E" w:rsidRPr="00147EAC" w:rsidRDefault="00ED1C4E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EAC">
        <w:rPr>
          <w:rFonts w:ascii="Times New Roman" w:hAnsi="Times New Roman"/>
          <w:sz w:val="24"/>
          <w:szCs w:val="24"/>
        </w:rPr>
        <w:t>Звіту про стан реалізації заходів, передбачених Дорожньою картою щодо впровадження термінових заходів для покращення внутрішньобанківської системи АБ «УКРГАЗБАНК»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ED1C4E" w:rsidRPr="00147EAC" w:rsidRDefault="00ED1C4E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Звіту з виявлення суттєвих ризиків в АБ «УКРГАЗБАНК».</w:t>
      </w:r>
    </w:p>
    <w:p w:rsidR="00ED1C4E" w:rsidRPr="00147EAC" w:rsidRDefault="00ED1C4E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Звіту Комітету з управління ризиками Наглядової ради АБ «УКРГАЗБАНК» про діяльність за звітний квартал.</w:t>
      </w:r>
    </w:p>
    <w:p w:rsidR="00ED1C4E" w:rsidRPr="00147EAC" w:rsidRDefault="00ED1C4E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Звіту щодо оцінки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комплаєнс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-ризику за звітний квартал.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Основних складових бюджетів підрозділів з управління ризиками, департаменту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комплаєнс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-контролю та департаменту фінансового моніторингу на 2026 рік.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Інформації щодо операцій з пов’язаними з АБ «УКРГАЗБАНК» особами за звітний квартал.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Інформації щодо купівлі/продажу та/або оренди активів, господарських та інших операцій з пов’язаними з АБ «УКРГАЗБАНК» особами, а також про виявлені випадки надання на розгляд кредитних заявок пов’язаних осіб, умови яких не відповідають поточним ринковим умовам, за звітний квартал.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Інформації щодо профілю кредитного ризику, ризику ліквідності, процентного, ринкового та операційного ризиків, а також результатів моніторингу рівня достатності внутрішнього капіталу.</w:t>
      </w:r>
    </w:p>
    <w:p w:rsidR="000A2443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Інформації щодо результатів стрес-тестування кредитного ризику, ризику ліквідності, процентного ризику банківської книги, ринкового та операційного ризиків, а також комплексного впливу результатів стрес-тестування на капітал та на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пруденційні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нормативи АБ «УКРГАЗБАНК»</w:t>
      </w:r>
      <w:r w:rsidR="00C540A3" w:rsidRPr="00147E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ED1C4E" w:rsidRPr="00147EAC" w:rsidRDefault="00ED1C4E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Інформації щодо результатів виконання Оперативного плану управління непрацюючими активами та стягнутим майном Банку за звітний квартал.</w:t>
      </w:r>
    </w:p>
    <w:p w:rsidR="000D1F0F" w:rsidRPr="00147EAC" w:rsidRDefault="000A2443" w:rsidP="00DF0FB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Питан</w:t>
      </w:r>
      <w:r w:rsidR="00ED1C4E" w:rsidRPr="00147EAC">
        <w:rPr>
          <w:rFonts w:ascii="Times New Roman" w:eastAsia="Times New Roman" w:hAnsi="Times New Roman"/>
          <w:sz w:val="24"/>
          <w:szCs w:val="24"/>
          <w:lang w:eastAsia="uk-UA"/>
        </w:rPr>
        <w:t>ня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щодо активних операцій, прийняття рішень за якими віднесено до компетенції Наглядової ради</w:t>
      </w:r>
      <w:r w:rsidR="000D1F0F" w:rsidRPr="00147E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0D1F0F" w:rsidRPr="00147EAC" w:rsidRDefault="000D1F0F" w:rsidP="00DF0FB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7EAC">
        <w:rPr>
          <w:rFonts w:ascii="Times New Roman" w:hAnsi="Times New Roman"/>
          <w:sz w:val="24"/>
          <w:szCs w:val="24"/>
        </w:rPr>
        <w:t xml:space="preserve">Розгляд деяких питань, пов’язаних з організацією корпоративного управління та внутрішнього контролю АБ «УКРГАЗБАНК» у частині ПВК/ФТ, </w:t>
      </w:r>
      <w:r w:rsidRPr="00147EAC">
        <w:rPr>
          <w:rStyle w:val="af3"/>
          <w:rFonts w:ascii="Times New Roman" w:hAnsi="Times New Roman"/>
          <w:b w:val="0"/>
          <w:sz w:val="24"/>
          <w:szCs w:val="24"/>
        </w:rPr>
        <w:t>розвитку культури ризиків в Банку</w:t>
      </w:r>
      <w:r w:rsidRPr="00147EAC">
        <w:rPr>
          <w:rFonts w:ascii="Times New Roman" w:hAnsi="Times New Roman"/>
          <w:b/>
          <w:sz w:val="24"/>
          <w:szCs w:val="24"/>
        </w:rPr>
        <w:t>,</w:t>
      </w:r>
      <w:r w:rsidRPr="00147EAC">
        <w:rPr>
          <w:rFonts w:ascii="Times New Roman" w:hAnsi="Times New Roman"/>
          <w:sz w:val="24"/>
          <w:szCs w:val="24"/>
        </w:rPr>
        <w:t xml:space="preserve"> зокрема, щодо підвищення обізнаності працівників Банку щодо ризиків, зміцнення відповідальності та підзвітності на першій лінії захисту, тощо.</w:t>
      </w:r>
    </w:p>
    <w:p w:rsidR="006D0390" w:rsidRPr="00147EAC" w:rsidRDefault="006D0390" w:rsidP="00ED1C4E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F57BF" w:rsidRPr="00147EAC" w:rsidRDefault="007F57BF" w:rsidP="00ED1C4E">
      <w:pPr>
        <w:pStyle w:val="af5"/>
        <w:numPr>
          <w:ilvl w:val="0"/>
          <w:numId w:val="15"/>
        </w:numPr>
        <w:spacing w:before="0" w:beforeAutospacing="0" w:after="0" w:afterAutospacing="0"/>
        <w:ind w:left="567" w:hanging="567"/>
        <w:jc w:val="both"/>
        <w:rPr>
          <w:b/>
        </w:rPr>
      </w:pPr>
      <w:r w:rsidRPr="003A0EF6">
        <w:rPr>
          <w:b/>
          <w:u w:val="single"/>
        </w:rPr>
        <w:t>Протягом 2025 року</w:t>
      </w:r>
      <w:r w:rsidR="003A0EF6" w:rsidRPr="003A0EF6">
        <w:rPr>
          <w:b/>
          <w:u w:val="single"/>
        </w:rPr>
        <w:t xml:space="preserve"> в цілому</w:t>
      </w:r>
      <w:r w:rsidRPr="00147EAC">
        <w:rPr>
          <w:b/>
        </w:rPr>
        <w:t xml:space="preserve"> Комітетом було розглянуто /попередньо розглянуто питання/надано рекомендації Наглядовій раді Банку для прийняття відповідних рішень, зокрема, щодо:</w:t>
      </w:r>
    </w:p>
    <w:p w:rsidR="00ED1C4E" w:rsidRPr="00147EAC" w:rsidRDefault="00ED1C4E" w:rsidP="00ED1C4E">
      <w:pPr>
        <w:pStyle w:val="af5"/>
        <w:spacing w:before="0" w:beforeAutospacing="0" w:after="0" w:afterAutospacing="0"/>
        <w:ind w:left="567"/>
        <w:jc w:val="both"/>
        <w:rPr>
          <w:b/>
        </w:rPr>
      </w:pP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Стратегії управління ризиками в АБ «УКРГАЗБАНК» у новій редакції.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Стратегії управління непрацюючими активами та стягнутим майном АБ «УКРГАЗБАНК» на 2026-2028 роки.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Декларації схильності до ризиків АБ «УКРГАЗБАНК» на 2025 рік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Програми фінансування АБ «УКРГАЗБАНК» на 2026 рік.</w:t>
      </w:r>
    </w:p>
    <w:p w:rsidR="00147EAC" w:rsidRPr="00147EAC" w:rsidRDefault="00147EAC" w:rsidP="00B45E78">
      <w:pPr>
        <w:pStyle w:val="a0"/>
        <w:numPr>
          <w:ilvl w:val="0"/>
          <w:numId w:val="21"/>
        </w:numPr>
        <w:ind w:left="709"/>
        <w:jc w:val="both"/>
        <w:rPr>
          <w:sz w:val="24"/>
          <w:szCs w:val="24"/>
          <w:lang w:val="uk-UA" w:eastAsia="uk-UA"/>
        </w:rPr>
      </w:pPr>
      <w:r w:rsidRPr="00147EAC">
        <w:rPr>
          <w:sz w:val="24"/>
          <w:szCs w:val="24"/>
          <w:lang w:val="uk-UA" w:eastAsia="uk-UA"/>
        </w:rPr>
        <w:t xml:space="preserve">Переліку лімітів </w:t>
      </w:r>
      <w:r w:rsidRPr="00147EAC">
        <w:rPr>
          <w:sz w:val="24"/>
          <w:szCs w:val="24"/>
          <w:highlight w:val="white"/>
          <w:lang w:val="uk-UA" w:eastAsia="uk-UA"/>
        </w:rPr>
        <w:t xml:space="preserve">(обмежень) щодо кожного виду ризику </w:t>
      </w:r>
      <w:r w:rsidRPr="00147EAC">
        <w:rPr>
          <w:sz w:val="24"/>
          <w:szCs w:val="24"/>
          <w:lang w:val="uk-UA" w:eastAsia="uk-UA"/>
        </w:rPr>
        <w:t>у новій редакції</w:t>
      </w:r>
      <w:r w:rsidRPr="00147EAC">
        <w:rPr>
          <w:sz w:val="24"/>
          <w:szCs w:val="24"/>
          <w:highlight w:val="white"/>
          <w:lang w:val="uk-UA" w:eastAsia="uk-UA"/>
        </w:rPr>
        <w:t>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Плану відновлення діяльності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Плану забезпечення безперервності діяльності АБ «УКРГАЗБАНК» у новій редакції.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безперервною діяльністю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стрес-тестування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операційним ризиком в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кредитним ризиком в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ринковим ризиком в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процентним ризиком банківської книги в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ризиком ліквідності в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управління ризиком інформаційної безпеки в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Політики з питань реалізації спеціальних економічних та інших обмежувальних заходів (санкцій)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Кредитної політики АБ «УКРГАЗБАНК» на період воєнного стану у новій редакції.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Зміни до Політики управління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комплаєнс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-ризиком в АБ «УКРГАЗБАНК».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Зміни до Політики управління операційним ризиком в АБ «УКРГАЗБАНК».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Зміни до Політики з питань реалізації спеціальних економічних та інших обмежувальних заходів (санкцій) АБ «УКРГАЗБАНК».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Зміни до Політики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Зміни до Політики запобігання, виявлення та управління конфліктами інтересів в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Положення про порядок здійснення операцій з пов’язаними з АБ «УКРГАЗБАНК» особами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Положення про реструктуризацію непрацюючих активів в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Положення про департамент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комплаєнс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Положення про організацію процесу оцінки достатності внутрішнього капіталу в АБ «УКРГАЗБАНК» у новій редакції.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Положення про процедуру ескалації порушень лімітів ризиків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Зміни до Положення про департамент ризик-менеджменту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Зміни до Положення про порядок списання безнадійної заборгованості в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Зміни до Положення про механізм конфіденційного повідомлення про неприйнятну поведінку / порушення в діяльності АБ «УКРГАЗБАНК».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Оперативного плану управління непрацюючими активами та стягнутим майном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Зміни до організаційної структури головної установи АБ «УКРГАЗБАНК», затвердженої рішенням Наглядової ради АБ «УКРГАЗБАНК».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Звітів Комітету з управління ризиками Наглядової ради АБ «УКРГАЗБАНК» за звітні квартали та за рік.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Звітів щодо оцінки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комплаєнс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-ризику за звітні квартали.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Загального звіту про оцінку ефективності діяльності підрозділів з управління ризиками та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комплаєнс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за звітний рік.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Звіту з виявлення суттєвих ризиків в АБ «УКРГАЗБАНК».</w:t>
      </w:r>
    </w:p>
    <w:p w:rsidR="00731A99" w:rsidRPr="00147EAC" w:rsidRDefault="00731A99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7EAC">
        <w:rPr>
          <w:rFonts w:ascii="Times New Roman" w:hAnsi="Times New Roman"/>
          <w:sz w:val="24"/>
          <w:szCs w:val="24"/>
        </w:rPr>
        <w:t>Звіту про стан реалізації заходів, передбачених Дорожньою картою щодо впровадження термінових заходів для покращення внутрішньобанківської системи АБ «УКРГАЗБАНК»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ED1C4E" w:rsidRPr="00147EAC" w:rsidRDefault="00ED1C4E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hAnsi="Times New Roman"/>
          <w:sz w:val="24"/>
          <w:szCs w:val="24"/>
        </w:rPr>
        <w:t xml:space="preserve">Звіту з питань управління ризиками легалізації (відмиванню) доходів, одержаних злочинним шляхом, фінансування тероризму та/або фінансування розповсюдження зброї масового знищення </w:t>
      </w:r>
    </w:p>
    <w:p w:rsidR="008019D6" w:rsidRPr="00147EAC" w:rsidRDefault="008019D6" w:rsidP="00B45E78">
      <w:pPr>
        <w:pStyle w:val="a0"/>
        <w:numPr>
          <w:ilvl w:val="0"/>
          <w:numId w:val="21"/>
        </w:numPr>
        <w:ind w:left="709"/>
        <w:jc w:val="both"/>
        <w:rPr>
          <w:sz w:val="24"/>
          <w:szCs w:val="24"/>
          <w:lang w:val="uk-UA"/>
        </w:rPr>
      </w:pPr>
      <w:r w:rsidRPr="00147EAC">
        <w:rPr>
          <w:sz w:val="24"/>
          <w:szCs w:val="24"/>
          <w:lang w:val="uk-UA"/>
        </w:rPr>
        <w:t>Інформації щодо результатів оцінки достатності внутрішнього капіталу АБ «УКРГАЗБАНК», затвердження Висновку про достатність внутрішнього капіталу (</w:t>
      </w:r>
      <w:proofErr w:type="spellStart"/>
      <w:r w:rsidRPr="00147EAC">
        <w:rPr>
          <w:sz w:val="24"/>
          <w:szCs w:val="24"/>
          <w:lang w:val="uk-UA"/>
        </w:rPr>
        <w:t>Capital</w:t>
      </w:r>
      <w:proofErr w:type="spellEnd"/>
      <w:r w:rsidRPr="00147EAC">
        <w:rPr>
          <w:sz w:val="24"/>
          <w:szCs w:val="24"/>
          <w:lang w:val="uk-UA"/>
        </w:rPr>
        <w:t xml:space="preserve"> </w:t>
      </w:r>
      <w:proofErr w:type="spellStart"/>
      <w:r w:rsidRPr="00147EAC">
        <w:rPr>
          <w:sz w:val="24"/>
          <w:szCs w:val="24"/>
          <w:lang w:val="uk-UA"/>
        </w:rPr>
        <w:t>Adequacy</w:t>
      </w:r>
      <w:proofErr w:type="spellEnd"/>
      <w:r w:rsidRPr="00147EAC">
        <w:rPr>
          <w:sz w:val="24"/>
          <w:szCs w:val="24"/>
          <w:lang w:val="uk-UA"/>
        </w:rPr>
        <w:t xml:space="preserve"> </w:t>
      </w:r>
      <w:proofErr w:type="spellStart"/>
      <w:r w:rsidRPr="00147EAC">
        <w:rPr>
          <w:sz w:val="24"/>
          <w:szCs w:val="24"/>
          <w:lang w:val="uk-UA"/>
        </w:rPr>
        <w:t>Statement</w:t>
      </w:r>
      <w:proofErr w:type="spellEnd"/>
      <w:r w:rsidRPr="00147EAC">
        <w:rPr>
          <w:sz w:val="24"/>
          <w:szCs w:val="24"/>
          <w:lang w:val="uk-UA"/>
        </w:rPr>
        <w:t>) АБ «УКРГАЗБАНК» за результатами процесу оцінки достатності внутрішнього капіталу Банку та Плану підтримання достатності капіталу АБ «УКРГАЗБАНК» на 2025-2027 роки за результатами оцінки достатності внутрішнього капіталу за нормативною перспективою.</w:t>
      </w:r>
    </w:p>
    <w:p w:rsidR="008019D6" w:rsidRPr="00147EAC" w:rsidRDefault="008019D6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t>Інформації щодо результатів оцінки достатності внутрішньої ліквідності за економічною та нормативною перспективами, та затвердження Висновку про достатність внутрішньої ліквідності (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t>Liquidity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t>Adequacy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t>Statement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t>) АБ «УКРГАЗБАНК» за результатами процесу оцінки достатності внутрішньої ліквідності АБ «УКРГАЗБАНК».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Висновків департаменту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комплаєнс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щодо відповідності процесів ICAAP та ILAAP вимогам Національного банку України.</w:t>
      </w:r>
    </w:p>
    <w:p w:rsidR="0016650D" w:rsidRPr="00147EAC" w:rsidRDefault="0016650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E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Інформації щодо показника ризик-апетиту до ризику ліквідності NSFR.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Інформації щодо профілю кредитного ризику, ризику ліквідності, процентного, ринкового та операційного ризиків, а також результатів моніторингу рівня достатності внутрішнього капіталу.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Інформації щодо результатів стрес-тестування кредитного ризику, ризику ліквідності, процентного ризику банківської книги, ринкового та операційного ризиків та комплексного впливу на капітал і </w:t>
      </w:r>
      <w:proofErr w:type="spellStart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пруденційні</w:t>
      </w:r>
      <w:proofErr w:type="spellEnd"/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нормативи.</w:t>
      </w:r>
    </w:p>
    <w:p w:rsidR="00C540A3" w:rsidRPr="00147EAC" w:rsidRDefault="00C540A3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hAnsi="Times New Roman"/>
          <w:sz w:val="24"/>
          <w:szCs w:val="24"/>
        </w:rPr>
        <w:t>Інформації щодо позичальників з ТОП-20 непрацюючих активів в корпоративному портфоліо АБ «УКРГАЗБАНК»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Інформації щодо результатів виконання </w:t>
      </w:r>
      <w:r w:rsidR="00C540A3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Оперативного плану 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управління непрацюючими активами та стягнутим майном.</w:t>
      </w:r>
    </w:p>
    <w:p w:rsidR="006162CD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Інформації щодо реалізації стратегії врегулювання проблемної заборгованості</w:t>
      </w:r>
      <w:r w:rsidR="00C540A3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Планів дій з врегулювання проблемної заборгованості окремих позичальників.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Інформації щодо операцій з пов’язаними з АБ «УКРГАЗБАНК» особами за звітні квартали.</w:t>
      </w:r>
    </w:p>
    <w:p w:rsidR="00147EAC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Інформації щодо купівлі/продажу та/або оренди активів, господарських та інших операцій з пов’язаними особами, а також щодо виявлених випадків надання кредитних заявок пов’язаних осіб на неринкових умовах.</w:t>
      </w:r>
    </w:p>
    <w:p w:rsidR="00ED1C4E" w:rsidRPr="00147EAC" w:rsidRDefault="0016650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План</w:t>
      </w:r>
      <w:r w:rsidR="00147EAC" w:rsidRPr="00147EAC">
        <w:rPr>
          <w:rFonts w:ascii="Times New Roman" w:eastAsia="Times New Roman" w:hAnsi="Times New Roman"/>
          <w:sz w:val="24"/>
          <w:szCs w:val="24"/>
          <w:lang w:eastAsia="uk-UA"/>
        </w:rPr>
        <w:t>ів</w:t>
      </w: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заходів за результатами безвиїзного банківського нагляду за АБ «УКРГАЗБАНК»</w:t>
      </w:r>
      <w:r w:rsidR="00147EAC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ED1C4E" w:rsidRPr="00147EAC">
        <w:rPr>
          <w:rFonts w:ascii="Times New Roman" w:eastAsia="Times New Roman" w:hAnsi="Times New Roman"/>
          <w:sz w:val="24"/>
          <w:szCs w:val="24"/>
          <w:lang w:eastAsia="uk-UA"/>
        </w:rPr>
        <w:t>щодо впровадження контролів відповідно до вимог Національного банку України.</w:t>
      </w:r>
    </w:p>
    <w:p w:rsidR="006162CD" w:rsidRPr="00147EAC" w:rsidRDefault="006162CD" w:rsidP="00B45E78">
      <w:pPr>
        <w:pStyle w:val="a0"/>
        <w:numPr>
          <w:ilvl w:val="0"/>
          <w:numId w:val="21"/>
        </w:numPr>
        <w:ind w:left="709"/>
        <w:jc w:val="both"/>
        <w:rPr>
          <w:sz w:val="24"/>
          <w:szCs w:val="24"/>
          <w:lang w:val="uk-UA" w:eastAsia="uk-UA"/>
        </w:rPr>
      </w:pPr>
      <w:r w:rsidRPr="00147EAC">
        <w:rPr>
          <w:sz w:val="24"/>
          <w:szCs w:val="24"/>
          <w:lang w:val="uk-UA" w:eastAsia="uk-UA"/>
        </w:rPr>
        <w:t>Питання щодо надання права вето ССО та CRO.</w:t>
      </w:r>
    </w:p>
    <w:p w:rsidR="00ED1C4E" w:rsidRPr="00147EAC" w:rsidRDefault="006162CD" w:rsidP="00B45E78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47EAC">
        <w:rPr>
          <w:rFonts w:ascii="Times New Roman" w:eastAsia="Times New Roman" w:hAnsi="Times New Roman"/>
          <w:sz w:val="24"/>
          <w:szCs w:val="24"/>
          <w:lang w:eastAsia="uk-UA"/>
        </w:rPr>
        <w:t>Питання щодо ключових показників ефективності (KПЕ) CRO</w:t>
      </w:r>
      <w:r w:rsidR="00147EAC" w:rsidRPr="00147EAC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Pr="00147EAC">
        <w:rPr>
          <w:rFonts w:ascii="Times New Roman" w:hAnsi="Times New Roman"/>
          <w:sz w:val="24"/>
          <w:szCs w:val="24"/>
          <w:lang w:eastAsia="uk-UA"/>
        </w:rPr>
        <w:t>CCO.</w:t>
      </w:r>
    </w:p>
    <w:p w:rsidR="00ED1C4E" w:rsidRPr="00147EAC" w:rsidRDefault="00AC3149" w:rsidP="00B45E78">
      <w:pPr>
        <w:pStyle w:val="a0"/>
        <w:numPr>
          <w:ilvl w:val="0"/>
          <w:numId w:val="21"/>
        </w:numPr>
        <w:ind w:left="709"/>
        <w:jc w:val="both"/>
        <w:rPr>
          <w:sz w:val="24"/>
          <w:szCs w:val="24"/>
          <w:lang w:val="uk-UA" w:eastAsia="uk-UA"/>
        </w:rPr>
      </w:pPr>
      <w:r w:rsidRPr="00147EAC">
        <w:rPr>
          <w:sz w:val="24"/>
          <w:szCs w:val="24"/>
          <w:lang w:val="uk-UA"/>
        </w:rPr>
        <w:t>П</w:t>
      </w:r>
      <w:r w:rsidR="00ED1C4E" w:rsidRPr="00147EAC">
        <w:rPr>
          <w:sz w:val="24"/>
          <w:szCs w:val="24"/>
          <w:lang w:val="uk-UA"/>
        </w:rPr>
        <w:t>итання щодо п</w:t>
      </w:r>
      <w:r w:rsidRPr="00147EAC">
        <w:rPr>
          <w:sz w:val="24"/>
          <w:szCs w:val="24"/>
          <w:lang w:val="uk-UA"/>
        </w:rPr>
        <w:t xml:space="preserve">ризначення головного ризик-менеджера (CRO), головного </w:t>
      </w:r>
      <w:proofErr w:type="spellStart"/>
      <w:r w:rsidRPr="00147EAC">
        <w:rPr>
          <w:sz w:val="24"/>
          <w:szCs w:val="24"/>
          <w:lang w:val="uk-UA"/>
        </w:rPr>
        <w:t>комплаєнс</w:t>
      </w:r>
      <w:proofErr w:type="spellEnd"/>
      <w:r w:rsidRPr="00147EAC">
        <w:rPr>
          <w:sz w:val="24"/>
          <w:szCs w:val="24"/>
          <w:lang w:val="uk-UA"/>
        </w:rPr>
        <w:t>-менеджера (ССО), відповідального працівника за проведення фінансового моніторингу.</w:t>
      </w:r>
    </w:p>
    <w:p w:rsidR="00147EAC" w:rsidRPr="00147EAC" w:rsidRDefault="00ED1C4E" w:rsidP="00B45E78">
      <w:pPr>
        <w:pStyle w:val="a0"/>
        <w:numPr>
          <w:ilvl w:val="0"/>
          <w:numId w:val="21"/>
        </w:numPr>
        <w:ind w:left="709"/>
        <w:jc w:val="both"/>
        <w:rPr>
          <w:sz w:val="24"/>
          <w:szCs w:val="24"/>
          <w:lang w:val="uk-UA" w:eastAsia="uk-UA"/>
        </w:rPr>
      </w:pPr>
      <w:r w:rsidRPr="00147EAC">
        <w:rPr>
          <w:sz w:val="24"/>
          <w:szCs w:val="24"/>
          <w:lang w:val="uk-UA" w:eastAsia="uk-UA"/>
        </w:rPr>
        <w:t>Питання щодо активних операцій, прийняття рішень за якими віднесено до компетенції Наглядової ради</w:t>
      </w:r>
      <w:r w:rsidR="00147EAC" w:rsidRPr="00147EAC">
        <w:rPr>
          <w:sz w:val="24"/>
          <w:szCs w:val="24"/>
          <w:lang w:val="uk-UA" w:eastAsia="uk-UA"/>
        </w:rPr>
        <w:t>.</w:t>
      </w:r>
    </w:p>
    <w:p w:rsidR="00147EAC" w:rsidRPr="00147EAC" w:rsidRDefault="00147EAC" w:rsidP="00B45E78">
      <w:pPr>
        <w:pStyle w:val="a0"/>
        <w:numPr>
          <w:ilvl w:val="0"/>
          <w:numId w:val="21"/>
        </w:numPr>
        <w:ind w:left="709"/>
        <w:jc w:val="both"/>
        <w:rPr>
          <w:sz w:val="24"/>
          <w:szCs w:val="24"/>
          <w:lang w:val="uk-UA" w:eastAsia="uk-UA"/>
        </w:rPr>
      </w:pPr>
      <w:r w:rsidRPr="00147EAC">
        <w:rPr>
          <w:sz w:val="24"/>
          <w:szCs w:val="24"/>
          <w:lang w:val="uk-UA" w:eastAsia="uk-UA"/>
        </w:rPr>
        <w:t xml:space="preserve">Питання </w:t>
      </w:r>
      <w:r w:rsidRPr="00147EAC">
        <w:rPr>
          <w:sz w:val="24"/>
          <w:szCs w:val="24"/>
          <w:lang w:val="uk-UA"/>
        </w:rPr>
        <w:t xml:space="preserve">про вжиття додаткових заходів з метою посилення ролі </w:t>
      </w:r>
      <w:proofErr w:type="spellStart"/>
      <w:r w:rsidRPr="00147EAC">
        <w:rPr>
          <w:sz w:val="24"/>
          <w:szCs w:val="24"/>
          <w:lang w:val="uk-UA"/>
        </w:rPr>
        <w:t>комплаєнс</w:t>
      </w:r>
      <w:proofErr w:type="spellEnd"/>
      <w:r w:rsidRPr="00147EAC">
        <w:rPr>
          <w:sz w:val="24"/>
          <w:szCs w:val="24"/>
          <w:lang w:val="uk-UA"/>
        </w:rPr>
        <w:t xml:space="preserve"> та фінансового моніторингу.</w:t>
      </w:r>
    </w:p>
    <w:p w:rsidR="00ED1C4E" w:rsidRPr="00147EAC" w:rsidRDefault="00147EAC" w:rsidP="00B45E78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47EAC">
        <w:rPr>
          <w:rFonts w:ascii="Times New Roman" w:hAnsi="Times New Roman"/>
          <w:sz w:val="24"/>
          <w:szCs w:val="24"/>
        </w:rPr>
        <w:t xml:space="preserve">Розгляд деяких питань, пов’язаних з організацією корпоративного управління та внутрішнього контролю АБ «УКРГАЗБАНК» у частині ПВК/ФТ, </w:t>
      </w:r>
      <w:r w:rsidRPr="00147EAC">
        <w:rPr>
          <w:rStyle w:val="af3"/>
          <w:rFonts w:ascii="Times New Roman" w:hAnsi="Times New Roman"/>
          <w:b w:val="0"/>
          <w:sz w:val="24"/>
          <w:szCs w:val="24"/>
        </w:rPr>
        <w:t>розвитку культури ризиків в Банку</w:t>
      </w:r>
      <w:r w:rsidRPr="00147EAC">
        <w:rPr>
          <w:rFonts w:ascii="Times New Roman" w:hAnsi="Times New Roman"/>
          <w:b/>
          <w:sz w:val="24"/>
          <w:szCs w:val="24"/>
        </w:rPr>
        <w:t>,</w:t>
      </w:r>
      <w:r w:rsidRPr="00147EAC">
        <w:rPr>
          <w:rFonts w:ascii="Times New Roman" w:hAnsi="Times New Roman"/>
          <w:sz w:val="24"/>
          <w:szCs w:val="24"/>
        </w:rPr>
        <w:t xml:space="preserve"> зокрема, щодо підвищення обізнаності працівників Банку щодо ризиків, зміцнення відповідальності та підзвітності на першій лінії захисту, тощо.</w:t>
      </w:r>
    </w:p>
    <w:sectPr w:rsidR="00ED1C4E" w:rsidRPr="00147EAC" w:rsidSect="00EF5DF6">
      <w:footerReference w:type="default" r:id="rId9"/>
      <w:pgSz w:w="11907" w:h="16840" w:code="9"/>
      <w:pgMar w:top="1276" w:right="850" w:bottom="1418" w:left="170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B1" w:rsidRDefault="002A04B1" w:rsidP="00204792">
      <w:pPr>
        <w:spacing w:after="0" w:line="240" w:lineRule="auto"/>
      </w:pPr>
      <w:r>
        <w:separator/>
      </w:r>
    </w:p>
  </w:endnote>
  <w:endnote w:type="continuationSeparator" w:id="0">
    <w:p w:rsidR="002A04B1" w:rsidRDefault="002A04B1" w:rsidP="0020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92" w:rsidRDefault="0020479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2482C" w:rsidRPr="0072482C">
      <w:rPr>
        <w:noProof/>
        <w:lang w:val="ru-RU"/>
      </w:rPr>
      <w:t>6</w:t>
    </w:r>
    <w:r>
      <w:fldChar w:fldCharType="end"/>
    </w:r>
  </w:p>
  <w:p w:rsidR="00204792" w:rsidRDefault="002047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B1" w:rsidRDefault="002A04B1" w:rsidP="00204792">
      <w:pPr>
        <w:spacing w:after="0" w:line="240" w:lineRule="auto"/>
      </w:pPr>
      <w:r>
        <w:separator/>
      </w:r>
    </w:p>
  </w:footnote>
  <w:footnote w:type="continuationSeparator" w:id="0">
    <w:p w:rsidR="002A04B1" w:rsidRDefault="002A04B1" w:rsidP="0020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E00"/>
    <w:multiLevelType w:val="multilevel"/>
    <w:tmpl w:val="5D22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41FC"/>
    <w:multiLevelType w:val="multilevel"/>
    <w:tmpl w:val="2BD03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64" w:hanging="384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77152"/>
    <w:multiLevelType w:val="hybridMultilevel"/>
    <w:tmpl w:val="38266008"/>
    <w:lvl w:ilvl="0" w:tplc="D9ECEA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631AB"/>
    <w:multiLevelType w:val="multilevel"/>
    <w:tmpl w:val="137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97B3C"/>
    <w:multiLevelType w:val="multilevel"/>
    <w:tmpl w:val="2AE2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532AC"/>
    <w:multiLevelType w:val="multilevel"/>
    <w:tmpl w:val="1BB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E5652"/>
    <w:multiLevelType w:val="multilevel"/>
    <w:tmpl w:val="A296E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79073A4"/>
    <w:multiLevelType w:val="hybridMultilevel"/>
    <w:tmpl w:val="2C8091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04245"/>
    <w:multiLevelType w:val="multilevel"/>
    <w:tmpl w:val="2D9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B2BEE"/>
    <w:multiLevelType w:val="hybridMultilevel"/>
    <w:tmpl w:val="D7D815EC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D0F65"/>
    <w:multiLevelType w:val="hybridMultilevel"/>
    <w:tmpl w:val="7CE4AF68"/>
    <w:lvl w:ilvl="0" w:tplc="D9ECE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909F6"/>
    <w:multiLevelType w:val="multilevel"/>
    <w:tmpl w:val="28D6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44255"/>
    <w:multiLevelType w:val="hybridMultilevel"/>
    <w:tmpl w:val="D3E24468"/>
    <w:lvl w:ilvl="0" w:tplc="32F666FA">
      <w:start w:val="1"/>
      <w:numFmt w:val="lowerLetter"/>
      <w:pStyle w:val="3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856276"/>
    <w:multiLevelType w:val="multilevel"/>
    <w:tmpl w:val="3F46B6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430FD"/>
    <w:multiLevelType w:val="multilevel"/>
    <w:tmpl w:val="65DA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061A0"/>
    <w:multiLevelType w:val="hybridMultilevel"/>
    <w:tmpl w:val="83C493BE"/>
    <w:lvl w:ilvl="0" w:tplc="01CA1302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106E4D"/>
    <w:multiLevelType w:val="multilevel"/>
    <w:tmpl w:val="849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۔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568D2"/>
    <w:multiLevelType w:val="hybridMultilevel"/>
    <w:tmpl w:val="3BB26F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3CC0"/>
    <w:multiLevelType w:val="multilevel"/>
    <w:tmpl w:val="93500C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C26A1C"/>
    <w:multiLevelType w:val="multilevel"/>
    <w:tmpl w:val="107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F63F5"/>
    <w:multiLevelType w:val="hybridMultilevel"/>
    <w:tmpl w:val="0D48F6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8"/>
  </w:num>
  <w:num w:numId="5">
    <w:abstractNumId w:val="19"/>
  </w:num>
  <w:num w:numId="6">
    <w:abstractNumId w:val="14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0"/>
  </w:num>
  <w:num w:numId="18">
    <w:abstractNumId w:val="6"/>
  </w:num>
  <w:num w:numId="19">
    <w:abstractNumId w:val="17"/>
  </w:num>
  <w:num w:numId="20">
    <w:abstractNumId w:val="13"/>
  </w:num>
  <w:num w:numId="2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7D"/>
    <w:rsid w:val="000015A7"/>
    <w:rsid w:val="00002E7A"/>
    <w:rsid w:val="0000483A"/>
    <w:rsid w:val="00006884"/>
    <w:rsid w:val="000138EF"/>
    <w:rsid w:val="000203D9"/>
    <w:rsid w:val="00021A6B"/>
    <w:rsid w:val="000247FA"/>
    <w:rsid w:val="00032EF8"/>
    <w:rsid w:val="00033ACA"/>
    <w:rsid w:val="00040684"/>
    <w:rsid w:val="000476D0"/>
    <w:rsid w:val="000478F0"/>
    <w:rsid w:val="0005002C"/>
    <w:rsid w:val="00055925"/>
    <w:rsid w:val="0005597F"/>
    <w:rsid w:val="00055D02"/>
    <w:rsid w:val="0005702F"/>
    <w:rsid w:val="00057313"/>
    <w:rsid w:val="00060044"/>
    <w:rsid w:val="0006088F"/>
    <w:rsid w:val="00061318"/>
    <w:rsid w:val="000631F7"/>
    <w:rsid w:val="00064AB5"/>
    <w:rsid w:val="00065949"/>
    <w:rsid w:val="00075530"/>
    <w:rsid w:val="00076C8B"/>
    <w:rsid w:val="0008054C"/>
    <w:rsid w:val="00081031"/>
    <w:rsid w:val="0008317F"/>
    <w:rsid w:val="0008393F"/>
    <w:rsid w:val="000955EF"/>
    <w:rsid w:val="00097A5E"/>
    <w:rsid w:val="000A2443"/>
    <w:rsid w:val="000A49A3"/>
    <w:rsid w:val="000A627D"/>
    <w:rsid w:val="000B07EB"/>
    <w:rsid w:val="000C0D45"/>
    <w:rsid w:val="000C3B64"/>
    <w:rsid w:val="000C5318"/>
    <w:rsid w:val="000D13C5"/>
    <w:rsid w:val="000D1F0F"/>
    <w:rsid w:val="000D536A"/>
    <w:rsid w:val="000D6763"/>
    <w:rsid w:val="000E6786"/>
    <w:rsid w:val="000F2F9E"/>
    <w:rsid w:val="001012CF"/>
    <w:rsid w:val="0010194F"/>
    <w:rsid w:val="00103969"/>
    <w:rsid w:val="00107D1F"/>
    <w:rsid w:val="00111522"/>
    <w:rsid w:val="0011438B"/>
    <w:rsid w:val="00120ECB"/>
    <w:rsid w:val="00125E4C"/>
    <w:rsid w:val="00130AC5"/>
    <w:rsid w:val="0013549F"/>
    <w:rsid w:val="00147EAC"/>
    <w:rsid w:val="0015001A"/>
    <w:rsid w:val="001572FD"/>
    <w:rsid w:val="00160EE2"/>
    <w:rsid w:val="00165AE6"/>
    <w:rsid w:val="0016612F"/>
    <w:rsid w:val="0016650D"/>
    <w:rsid w:val="00174D6D"/>
    <w:rsid w:val="00176AA6"/>
    <w:rsid w:val="00176B4F"/>
    <w:rsid w:val="001841E8"/>
    <w:rsid w:val="001877EE"/>
    <w:rsid w:val="00187AE2"/>
    <w:rsid w:val="00191086"/>
    <w:rsid w:val="001A216D"/>
    <w:rsid w:val="001C2373"/>
    <w:rsid w:val="001C510F"/>
    <w:rsid w:val="001D2068"/>
    <w:rsid w:val="001D20B4"/>
    <w:rsid w:val="001D2940"/>
    <w:rsid w:val="001E3D17"/>
    <w:rsid w:val="001E3E04"/>
    <w:rsid w:val="001E7D57"/>
    <w:rsid w:val="001F20E8"/>
    <w:rsid w:val="001F2538"/>
    <w:rsid w:val="00203292"/>
    <w:rsid w:val="00204792"/>
    <w:rsid w:val="00210DBA"/>
    <w:rsid w:val="00217D94"/>
    <w:rsid w:val="00224F08"/>
    <w:rsid w:val="00225E79"/>
    <w:rsid w:val="00226E85"/>
    <w:rsid w:val="00227090"/>
    <w:rsid w:val="00232E9A"/>
    <w:rsid w:val="002367D6"/>
    <w:rsid w:val="00241206"/>
    <w:rsid w:val="00242C78"/>
    <w:rsid w:val="002467F7"/>
    <w:rsid w:val="00247E81"/>
    <w:rsid w:val="002567F6"/>
    <w:rsid w:val="00270FD6"/>
    <w:rsid w:val="00272413"/>
    <w:rsid w:val="0027322F"/>
    <w:rsid w:val="0027488A"/>
    <w:rsid w:val="00274FDC"/>
    <w:rsid w:val="00281D7F"/>
    <w:rsid w:val="00283B2B"/>
    <w:rsid w:val="0028445D"/>
    <w:rsid w:val="00285DA3"/>
    <w:rsid w:val="00291B69"/>
    <w:rsid w:val="0029445E"/>
    <w:rsid w:val="0029509B"/>
    <w:rsid w:val="00295F85"/>
    <w:rsid w:val="00296F21"/>
    <w:rsid w:val="002A0304"/>
    <w:rsid w:val="002A04B1"/>
    <w:rsid w:val="002A0595"/>
    <w:rsid w:val="002A0928"/>
    <w:rsid w:val="002A1E09"/>
    <w:rsid w:val="002B2E25"/>
    <w:rsid w:val="002B3D0E"/>
    <w:rsid w:val="002B40F5"/>
    <w:rsid w:val="002B6D52"/>
    <w:rsid w:val="002C26C3"/>
    <w:rsid w:val="002C4C87"/>
    <w:rsid w:val="002D2623"/>
    <w:rsid w:val="002D7368"/>
    <w:rsid w:val="002E01C3"/>
    <w:rsid w:val="002E0BEC"/>
    <w:rsid w:val="003127F8"/>
    <w:rsid w:val="0032120D"/>
    <w:rsid w:val="00325EAC"/>
    <w:rsid w:val="00326C0E"/>
    <w:rsid w:val="00327719"/>
    <w:rsid w:val="00334CB3"/>
    <w:rsid w:val="003367B5"/>
    <w:rsid w:val="00341108"/>
    <w:rsid w:val="003423A8"/>
    <w:rsid w:val="0034265E"/>
    <w:rsid w:val="00343C02"/>
    <w:rsid w:val="00345D9A"/>
    <w:rsid w:val="00347BF2"/>
    <w:rsid w:val="003533C8"/>
    <w:rsid w:val="003557E1"/>
    <w:rsid w:val="00361EBF"/>
    <w:rsid w:val="00363D13"/>
    <w:rsid w:val="0036452C"/>
    <w:rsid w:val="00365DF1"/>
    <w:rsid w:val="00371967"/>
    <w:rsid w:val="00371AED"/>
    <w:rsid w:val="00380230"/>
    <w:rsid w:val="00380BE6"/>
    <w:rsid w:val="00383492"/>
    <w:rsid w:val="00395AE4"/>
    <w:rsid w:val="003A0EF6"/>
    <w:rsid w:val="003A10C8"/>
    <w:rsid w:val="003A1A03"/>
    <w:rsid w:val="003A4F0E"/>
    <w:rsid w:val="003A7B26"/>
    <w:rsid w:val="003B75B8"/>
    <w:rsid w:val="003C4F42"/>
    <w:rsid w:val="003C70FA"/>
    <w:rsid w:val="003D50A4"/>
    <w:rsid w:val="003E7C3A"/>
    <w:rsid w:val="003F0E22"/>
    <w:rsid w:val="003F35BB"/>
    <w:rsid w:val="003F65F2"/>
    <w:rsid w:val="003F72A5"/>
    <w:rsid w:val="00403209"/>
    <w:rsid w:val="00406AED"/>
    <w:rsid w:val="004074F0"/>
    <w:rsid w:val="00413618"/>
    <w:rsid w:val="00416E0C"/>
    <w:rsid w:val="00421C90"/>
    <w:rsid w:val="004254E3"/>
    <w:rsid w:val="004254F1"/>
    <w:rsid w:val="00432C40"/>
    <w:rsid w:val="00433450"/>
    <w:rsid w:val="00455F10"/>
    <w:rsid w:val="004631BA"/>
    <w:rsid w:val="004639CE"/>
    <w:rsid w:val="004644D7"/>
    <w:rsid w:val="004761ED"/>
    <w:rsid w:val="004771DA"/>
    <w:rsid w:val="004840F5"/>
    <w:rsid w:val="004853DA"/>
    <w:rsid w:val="00485728"/>
    <w:rsid w:val="00487AA6"/>
    <w:rsid w:val="00494784"/>
    <w:rsid w:val="004958F3"/>
    <w:rsid w:val="004959C5"/>
    <w:rsid w:val="0049678D"/>
    <w:rsid w:val="004A070A"/>
    <w:rsid w:val="004A0F87"/>
    <w:rsid w:val="004A4C51"/>
    <w:rsid w:val="004A6657"/>
    <w:rsid w:val="004B1065"/>
    <w:rsid w:val="004B2249"/>
    <w:rsid w:val="004B37AF"/>
    <w:rsid w:val="004B6FEC"/>
    <w:rsid w:val="004D2309"/>
    <w:rsid w:val="004D3C14"/>
    <w:rsid w:val="004D76DE"/>
    <w:rsid w:val="004E2985"/>
    <w:rsid w:val="004F1482"/>
    <w:rsid w:val="004F4426"/>
    <w:rsid w:val="00507690"/>
    <w:rsid w:val="005079B2"/>
    <w:rsid w:val="005132AD"/>
    <w:rsid w:val="00524BFB"/>
    <w:rsid w:val="00532DF1"/>
    <w:rsid w:val="00536E03"/>
    <w:rsid w:val="005379D7"/>
    <w:rsid w:val="00540230"/>
    <w:rsid w:val="0054775A"/>
    <w:rsid w:val="00547E21"/>
    <w:rsid w:val="00553279"/>
    <w:rsid w:val="00561DE6"/>
    <w:rsid w:val="00567A84"/>
    <w:rsid w:val="005740EA"/>
    <w:rsid w:val="005745CF"/>
    <w:rsid w:val="00574A38"/>
    <w:rsid w:val="0057781E"/>
    <w:rsid w:val="005831FF"/>
    <w:rsid w:val="005837B4"/>
    <w:rsid w:val="005A13DC"/>
    <w:rsid w:val="005A4E28"/>
    <w:rsid w:val="005A63C2"/>
    <w:rsid w:val="005A726A"/>
    <w:rsid w:val="005B1790"/>
    <w:rsid w:val="005B21AB"/>
    <w:rsid w:val="005B3820"/>
    <w:rsid w:val="005B5548"/>
    <w:rsid w:val="005B5FB0"/>
    <w:rsid w:val="005B659D"/>
    <w:rsid w:val="005B693D"/>
    <w:rsid w:val="005C06EF"/>
    <w:rsid w:val="005C7852"/>
    <w:rsid w:val="005D0CD0"/>
    <w:rsid w:val="005D10D3"/>
    <w:rsid w:val="005D150D"/>
    <w:rsid w:val="005D40F6"/>
    <w:rsid w:val="005D7347"/>
    <w:rsid w:val="005E1980"/>
    <w:rsid w:val="005E4983"/>
    <w:rsid w:val="005F3976"/>
    <w:rsid w:val="005F6C03"/>
    <w:rsid w:val="0060110E"/>
    <w:rsid w:val="0060418A"/>
    <w:rsid w:val="00607D7F"/>
    <w:rsid w:val="0061258B"/>
    <w:rsid w:val="006127BF"/>
    <w:rsid w:val="006162CD"/>
    <w:rsid w:val="006208AE"/>
    <w:rsid w:val="00625610"/>
    <w:rsid w:val="00627A4F"/>
    <w:rsid w:val="00635A2E"/>
    <w:rsid w:val="006378F3"/>
    <w:rsid w:val="00642154"/>
    <w:rsid w:val="006423DB"/>
    <w:rsid w:val="0064255A"/>
    <w:rsid w:val="006449BE"/>
    <w:rsid w:val="00645B56"/>
    <w:rsid w:val="00650BEC"/>
    <w:rsid w:val="00655557"/>
    <w:rsid w:val="00663A15"/>
    <w:rsid w:val="006738A7"/>
    <w:rsid w:val="006739D5"/>
    <w:rsid w:val="00683A8E"/>
    <w:rsid w:val="00684D72"/>
    <w:rsid w:val="00685BC0"/>
    <w:rsid w:val="006907F2"/>
    <w:rsid w:val="00690FEA"/>
    <w:rsid w:val="006930A4"/>
    <w:rsid w:val="006A2B45"/>
    <w:rsid w:val="006A7F93"/>
    <w:rsid w:val="006B07EC"/>
    <w:rsid w:val="006B15E3"/>
    <w:rsid w:val="006B2BBD"/>
    <w:rsid w:val="006B5537"/>
    <w:rsid w:val="006B5979"/>
    <w:rsid w:val="006B6911"/>
    <w:rsid w:val="006C1EF2"/>
    <w:rsid w:val="006C655A"/>
    <w:rsid w:val="006D0390"/>
    <w:rsid w:val="006D326E"/>
    <w:rsid w:val="006D5B6D"/>
    <w:rsid w:val="006D7459"/>
    <w:rsid w:val="006E1158"/>
    <w:rsid w:val="006E3173"/>
    <w:rsid w:val="006E6C6E"/>
    <w:rsid w:val="006F10E3"/>
    <w:rsid w:val="006F1111"/>
    <w:rsid w:val="006F535C"/>
    <w:rsid w:val="006F74E5"/>
    <w:rsid w:val="007001C6"/>
    <w:rsid w:val="00702C24"/>
    <w:rsid w:val="0070525D"/>
    <w:rsid w:val="00706498"/>
    <w:rsid w:val="0071366C"/>
    <w:rsid w:val="0071374D"/>
    <w:rsid w:val="0071428F"/>
    <w:rsid w:val="00720812"/>
    <w:rsid w:val="00721259"/>
    <w:rsid w:val="0072482C"/>
    <w:rsid w:val="007257C2"/>
    <w:rsid w:val="00731A99"/>
    <w:rsid w:val="007344F8"/>
    <w:rsid w:val="00743C3F"/>
    <w:rsid w:val="00772255"/>
    <w:rsid w:val="0077255C"/>
    <w:rsid w:val="00774CF7"/>
    <w:rsid w:val="00776EC1"/>
    <w:rsid w:val="007777E8"/>
    <w:rsid w:val="00781876"/>
    <w:rsid w:val="00797604"/>
    <w:rsid w:val="007A0E00"/>
    <w:rsid w:val="007A0EC1"/>
    <w:rsid w:val="007A5216"/>
    <w:rsid w:val="007B0146"/>
    <w:rsid w:val="007B0A18"/>
    <w:rsid w:val="007B19AA"/>
    <w:rsid w:val="007B1E02"/>
    <w:rsid w:val="007B4C29"/>
    <w:rsid w:val="007B50C4"/>
    <w:rsid w:val="007B5925"/>
    <w:rsid w:val="007B78B5"/>
    <w:rsid w:val="007D2778"/>
    <w:rsid w:val="007D79F5"/>
    <w:rsid w:val="007E0C97"/>
    <w:rsid w:val="007F3C9E"/>
    <w:rsid w:val="007F57BF"/>
    <w:rsid w:val="008019D6"/>
    <w:rsid w:val="00810B2A"/>
    <w:rsid w:val="0081203F"/>
    <w:rsid w:val="00812DCB"/>
    <w:rsid w:val="00813CE6"/>
    <w:rsid w:val="00815FE4"/>
    <w:rsid w:val="0082093B"/>
    <w:rsid w:val="008220F6"/>
    <w:rsid w:val="00822861"/>
    <w:rsid w:val="00822BA0"/>
    <w:rsid w:val="0082362E"/>
    <w:rsid w:val="0082659B"/>
    <w:rsid w:val="00837CE7"/>
    <w:rsid w:val="00840E55"/>
    <w:rsid w:val="00842BB0"/>
    <w:rsid w:val="00845645"/>
    <w:rsid w:val="008474FE"/>
    <w:rsid w:val="00847AA1"/>
    <w:rsid w:val="0085367F"/>
    <w:rsid w:val="008607D0"/>
    <w:rsid w:val="0086098D"/>
    <w:rsid w:val="00865BB6"/>
    <w:rsid w:val="00866B57"/>
    <w:rsid w:val="00866DFD"/>
    <w:rsid w:val="00871E0D"/>
    <w:rsid w:val="00871F36"/>
    <w:rsid w:val="00873919"/>
    <w:rsid w:val="008810DE"/>
    <w:rsid w:val="00881283"/>
    <w:rsid w:val="0088425F"/>
    <w:rsid w:val="00887EAD"/>
    <w:rsid w:val="00897978"/>
    <w:rsid w:val="008A088D"/>
    <w:rsid w:val="008A29AA"/>
    <w:rsid w:val="008A407D"/>
    <w:rsid w:val="008A6575"/>
    <w:rsid w:val="008B289A"/>
    <w:rsid w:val="008B2D95"/>
    <w:rsid w:val="008C094E"/>
    <w:rsid w:val="008D0328"/>
    <w:rsid w:val="008D4262"/>
    <w:rsid w:val="008F0925"/>
    <w:rsid w:val="008F0C3C"/>
    <w:rsid w:val="008F0CEA"/>
    <w:rsid w:val="008F4436"/>
    <w:rsid w:val="008F4CDB"/>
    <w:rsid w:val="008F5718"/>
    <w:rsid w:val="008F5C32"/>
    <w:rsid w:val="008F7F73"/>
    <w:rsid w:val="00906F0B"/>
    <w:rsid w:val="00907429"/>
    <w:rsid w:val="00916B98"/>
    <w:rsid w:val="009204F5"/>
    <w:rsid w:val="0094441A"/>
    <w:rsid w:val="0096011E"/>
    <w:rsid w:val="00960561"/>
    <w:rsid w:val="00972008"/>
    <w:rsid w:val="009724F4"/>
    <w:rsid w:val="00973E55"/>
    <w:rsid w:val="00980234"/>
    <w:rsid w:val="009833B6"/>
    <w:rsid w:val="009909C8"/>
    <w:rsid w:val="00992CE7"/>
    <w:rsid w:val="00993A56"/>
    <w:rsid w:val="009945E3"/>
    <w:rsid w:val="009A5396"/>
    <w:rsid w:val="009B5A7D"/>
    <w:rsid w:val="009B7B95"/>
    <w:rsid w:val="009C0439"/>
    <w:rsid w:val="009C1697"/>
    <w:rsid w:val="009C43C2"/>
    <w:rsid w:val="009C44CF"/>
    <w:rsid w:val="009F29E7"/>
    <w:rsid w:val="009F5038"/>
    <w:rsid w:val="00A0421C"/>
    <w:rsid w:val="00A15A6D"/>
    <w:rsid w:val="00A16E5A"/>
    <w:rsid w:val="00A177CA"/>
    <w:rsid w:val="00A2101C"/>
    <w:rsid w:val="00A24D53"/>
    <w:rsid w:val="00A25038"/>
    <w:rsid w:val="00A273E6"/>
    <w:rsid w:val="00A334E6"/>
    <w:rsid w:val="00A339D6"/>
    <w:rsid w:val="00A37AC0"/>
    <w:rsid w:val="00A42109"/>
    <w:rsid w:val="00A42F9C"/>
    <w:rsid w:val="00A45C68"/>
    <w:rsid w:val="00A46AE7"/>
    <w:rsid w:val="00A511A1"/>
    <w:rsid w:val="00A5669D"/>
    <w:rsid w:val="00A61771"/>
    <w:rsid w:val="00A61D31"/>
    <w:rsid w:val="00A64E18"/>
    <w:rsid w:val="00A723C8"/>
    <w:rsid w:val="00A727B2"/>
    <w:rsid w:val="00A740B9"/>
    <w:rsid w:val="00A75D49"/>
    <w:rsid w:val="00A7680C"/>
    <w:rsid w:val="00A812E5"/>
    <w:rsid w:val="00A8404C"/>
    <w:rsid w:val="00A84241"/>
    <w:rsid w:val="00A84EA6"/>
    <w:rsid w:val="00A86789"/>
    <w:rsid w:val="00A872F1"/>
    <w:rsid w:val="00A918FC"/>
    <w:rsid w:val="00A926EF"/>
    <w:rsid w:val="00A94E53"/>
    <w:rsid w:val="00A95238"/>
    <w:rsid w:val="00A9635C"/>
    <w:rsid w:val="00AA04F9"/>
    <w:rsid w:val="00AA0938"/>
    <w:rsid w:val="00AA4324"/>
    <w:rsid w:val="00AA5669"/>
    <w:rsid w:val="00AC0326"/>
    <w:rsid w:val="00AC16D3"/>
    <w:rsid w:val="00AC194C"/>
    <w:rsid w:val="00AC2BEF"/>
    <w:rsid w:val="00AC3149"/>
    <w:rsid w:val="00AC4C43"/>
    <w:rsid w:val="00AC68A2"/>
    <w:rsid w:val="00AD779C"/>
    <w:rsid w:val="00AE0DA2"/>
    <w:rsid w:val="00AE47D0"/>
    <w:rsid w:val="00AE6835"/>
    <w:rsid w:val="00AF4DC2"/>
    <w:rsid w:val="00AF4EED"/>
    <w:rsid w:val="00B00001"/>
    <w:rsid w:val="00B013AE"/>
    <w:rsid w:val="00B02E4B"/>
    <w:rsid w:val="00B16CD5"/>
    <w:rsid w:val="00B219F4"/>
    <w:rsid w:val="00B35064"/>
    <w:rsid w:val="00B36073"/>
    <w:rsid w:val="00B42071"/>
    <w:rsid w:val="00B428F8"/>
    <w:rsid w:val="00B42C10"/>
    <w:rsid w:val="00B42E8A"/>
    <w:rsid w:val="00B45E78"/>
    <w:rsid w:val="00B47D77"/>
    <w:rsid w:val="00B5044A"/>
    <w:rsid w:val="00B50739"/>
    <w:rsid w:val="00B5735F"/>
    <w:rsid w:val="00B603C7"/>
    <w:rsid w:val="00B64DB4"/>
    <w:rsid w:val="00B662F7"/>
    <w:rsid w:val="00B76EC3"/>
    <w:rsid w:val="00B80CE2"/>
    <w:rsid w:val="00B83B3A"/>
    <w:rsid w:val="00B9152C"/>
    <w:rsid w:val="00B92D23"/>
    <w:rsid w:val="00B95F4D"/>
    <w:rsid w:val="00BA517F"/>
    <w:rsid w:val="00BA55B9"/>
    <w:rsid w:val="00BA7F74"/>
    <w:rsid w:val="00BB0482"/>
    <w:rsid w:val="00BB0967"/>
    <w:rsid w:val="00BC19C9"/>
    <w:rsid w:val="00BC1E45"/>
    <w:rsid w:val="00BC310D"/>
    <w:rsid w:val="00BC3783"/>
    <w:rsid w:val="00BC3A6B"/>
    <w:rsid w:val="00BD4D19"/>
    <w:rsid w:val="00BE010B"/>
    <w:rsid w:val="00BE20BD"/>
    <w:rsid w:val="00BE3F3C"/>
    <w:rsid w:val="00BE4C5F"/>
    <w:rsid w:val="00BE7D32"/>
    <w:rsid w:val="00BF32C6"/>
    <w:rsid w:val="00BF4046"/>
    <w:rsid w:val="00BF5E3B"/>
    <w:rsid w:val="00BF7993"/>
    <w:rsid w:val="00C01925"/>
    <w:rsid w:val="00C02D54"/>
    <w:rsid w:val="00C041EE"/>
    <w:rsid w:val="00C07232"/>
    <w:rsid w:val="00C13911"/>
    <w:rsid w:val="00C22EA1"/>
    <w:rsid w:val="00C33AF2"/>
    <w:rsid w:val="00C3447D"/>
    <w:rsid w:val="00C348E4"/>
    <w:rsid w:val="00C42842"/>
    <w:rsid w:val="00C5321A"/>
    <w:rsid w:val="00C540A3"/>
    <w:rsid w:val="00C77F43"/>
    <w:rsid w:val="00C85263"/>
    <w:rsid w:val="00C856AE"/>
    <w:rsid w:val="00C91B75"/>
    <w:rsid w:val="00C92698"/>
    <w:rsid w:val="00C96724"/>
    <w:rsid w:val="00CA2FB6"/>
    <w:rsid w:val="00CA7BA0"/>
    <w:rsid w:val="00CB00FC"/>
    <w:rsid w:val="00CC1BFC"/>
    <w:rsid w:val="00CC4103"/>
    <w:rsid w:val="00CD300C"/>
    <w:rsid w:val="00CF3CA6"/>
    <w:rsid w:val="00CF4C5A"/>
    <w:rsid w:val="00CF7890"/>
    <w:rsid w:val="00D01E78"/>
    <w:rsid w:val="00D03150"/>
    <w:rsid w:val="00D11AC3"/>
    <w:rsid w:val="00D14CC6"/>
    <w:rsid w:val="00D17A5D"/>
    <w:rsid w:val="00D27FF3"/>
    <w:rsid w:val="00D30335"/>
    <w:rsid w:val="00D30741"/>
    <w:rsid w:val="00D30EC0"/>
    <w:rsid w:val="00D31111"/>
    <w:rsid w:val="00D314F2"/>
    <w:rsid w:val="00D34688"/>
    <w:rsid w:val="00D350CE"/>
    <w:rsid w:val="00D3571C"/>
    <w:rsid w:val="00D40AE7"/>
    <w:rsid w:val="00D557A9"/>
    <w:rsid w:val="00D60AFF"/>
    <w:rsid w:val="00D60C21"/>
    <w:rsid w:val="00D62629"/>
    <w:rsid w:val="00D6357F"/>
    <w:rsid w:val="00D64742"/>
    <w:rsid w:val="00D6624E"/>
    <w:rsid w:val="00D70DE8"/>
    <w:rsid w:val="00D71A70"/>
    <w:rsid w:val="00D7423F"/>
    <w:rsid w:val="00D80756"/>
    <w:rsid w:val="00D818F0"/>
    <w:rsid w:val="00D82C6E"/>
    <w:rsid w:val="00D9245B"/>
    <w:rsid w:val="00DA05F2"/>
    <w:rsid w:val="00DA1AFE"/>
    <w:rsid w:val="00DA2D84"/>
    <w:rsid w:val="00DA3217"/>
    <w:rsid w:val="00DA4F8E"/>
    <w:rsid w:val="00DB1120"/>
    <w:rsid w:val="00DB1A7D"/>
    <w:rsid w:val="00DB40AC"/>
    <w:rsid w:val="00DB5DD8"/>
    <w:rsid w:val="00DC0037"/>
    <w:rsid w:val="00DC1A18"/>
    <w:rsid w:val="00DC4793"/>
    <w:rsid w:val="00DC5BED"/>
    <w:rsid w:val="00DD1ECD"/>
    <w:rsid w:val="00DD776B"/>
    <w:rsid w:val="00DE2A4E"/>
    <w:rsid w:val="00DE6C69"/>
    <w:rsid w:val="00DF0FB4"/>
    <w:rsid w:val="00DF2A00"/>
    <w:rsid w:val="00DF3361"/>
    <w:rsid w:val="00DF7161"/>
    <w:rsid w:val="00E054DB"/>
    <w:rsid w:val="00E073D6"/>
    <w:rsid w:val="00E100CB"/>
    <w:rsid w:val="00E221E2"/>
    <w:rsid w:val="00E276BF"/>
    <w:rsid w:val="00E30E30"/>
    <w:rsid w:val="00E3269B"/>
    <w:rsid w:val="00E40108"/>
    <w:rsid w:val="00E44C69"/>
    <w:rsid w:val="00E61109"/>
    <w:rsid w:val="00E6343C"/>
    <w:rsid w:val="00E63B5E"/>
    <w:rsid w:val="00E73AC4"/>
    <w:rsid w:val="00E808E3"/>
    <w:rsid w:val="00E84CEC"/>
    <w:rsid w:val="00E850C8"/>
    <w:rsid w:val="00E873EB"/>
    <w:rsid w:val="00EA090A"/>
    <w:rsid w:val="00EA1F9C"/>
    <w:rsid w:val="00EA204A"/>
    <w:rsid w:val="00EB148B"/>
    <w:rsid w:val="00EB72C4"/>
    <w:rsid w:val="00EC3EF0"/>
    <w:rsid w:val="00EC64DE"/>
    <w:rsid w:val="00ED1C4E"/>
    <w:rsid w:val="00ED2C99"/>
    <w:rsid w:val="00ED3CC9"/>
    <w:rsid w:val="00ED57A4"/>
    <w:rsid w:val="00EE2C8C"/>
    <w:rsid w:val="00EE395F"/>
    <w:rsid w:val="00EE4EE5"/>
    <w:rsid w:val="00EE5340"/>
    <w:rsid w:val="00EE5F9C"/>
    <w:rsid w:val="00EE6D18"/>
    <w:rsid w:val="00EF11B7"/>
    <w:rsid w:val="00EF2A80"/>
    <w:rsid w:val="00EF5DF6"/>
    <w:rsid w:val="00EF5E98"/>
    <w:rsid w:val="00EF7A73"/>
    <w:rsid w:val="00F001E4"/>
    <w:rsid w:val="00F00BC7"/>
    <w:rsid w:val="00F02DCB"/>
    <w:rsid w:val="00F0586B"/>
    <w:rsid w:val="00F07196"/>
    <w:rsid w:val="00F07310"/>
    <w:rsid w:val="00F1165B"/>
    <w:rsid w:val="00F13057"/>
    <w:rsid w:val="00F16EF8"/>
    <w:rsid w:val="00F228D1"/>
    <w:rsid w:val="00F362A0"/>
    <w:rsid w:val="00F42539"/>
    <w:rsid w:val="00F442DA"/>
    <w:rsid w:val="00F452E6"/>
    <w:rsid w:val="00F46450"/>
    <w:rsid w:val="00F47EF4"/>
    <w:rsid w:val="00F50E91"/>
    <w:rsid w:val="00F61EEB"/>
    <w:rsid w:val="00F631D7"/>
    <w:rsid w:val="00F65F3A"/>
    <w:rsid w:val="00F673DD"/>
    <w:rsid w:val="00F717B6"/>
    <w:rsid w:val="00F73F46"/>
    <w:rsid w:val="00F743C6"/>
    <w:rsid w:val="00F770F7"/>
    <w:rsid w:val="00F77308"/>
    <w:rsid w:val="00F8091D"/>
    <w:rsid w:val="00F85784"/>
    <w:rsid w:val="00F85865"/>
    <w:rsid w:val="00F85A45"/>
    <w:rsid w:val="00FA17D4"/>
    <w:rsid w:val="00FA1D12"/>
    <w:rsid w:val="00FA3D02"/>
    <w:rsid w:val="00FB3112"/>
    <w:rsid w:val="00FB3621"/>
    <w:rsid w:val="00FB3BD3"/>
    <w:rsid w:val="00FB577F"/>
    <w:rsid w:val="00FC18EB"/>
    <w:rsid w:val="00FC6270"/>
    <w:rsid w:val="00FC770C"/>
    <w:rsid w:val="00FC7B8B"/>
    <w:rsid w:val="00FD3E75"/>
    <w:rsid w:val="00FD6ACA"/>
    <w:rsid w:val="00FD6ED6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AF34"/>
  <w15:chartTrackingRefBased/>
  <w15:docId w15:val="{28AB8366-9F03-45D5-B00B-0BA9E4B9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15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"/>
    <w:link w:val="30"/>
    <w:uiPriority w:val="9"/>
    <w:unhideWhenUsed/>
    <w:qFormat/>
    <w:rsid w:val="00DC5BED"/>
    <w:pPr>
      <w:numPr>
        <w:numId w:val="1"/>
      </w:numPr>
      <w:spacing w:after="160" w:line="259" w:lineRule="auto"/>
      <w:outlineLvl w:val="2"/>
    </w:pPr>
    <w:rPr>
      <w:rFonts w:eastAsia="Calibri"/>
      <w:sz w:val="24"/>
      <w:szCs w:val="24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A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aliases w:val="Заголовок 1.1 Знак,Normal bullet 2 Знак,Heading Bullet Знак,Bullets Знак,Буллет Знак,Нумерованый список Знак,ПАРАГРАФ Знак,Нумерованный спиков Знак,Слабое выделение1 Знак,Таблица. Рисунок Знак,En tête 1 Знак,Γράφημα Знак,본문(내용) Знак"/>
    <w:link w:val="a0"/>
    <w:uiPriority w:val="34"/>
    <w:qFormat/>
    <w:locked/>
    <w:rsid w:val="00065949"/>
    <w:rPr>
      <w:rFonts w:ascii="Times New Roman" w:eastAsia="Times New Roman" w:hAnsi="Times New Roman"/>
      <w:lang w:val="ru-RU" w:eastAsia="ru-RU"/>
    </w:rPr>
  </w:style>
  <w:style w:type="paragraph" w:styleId="a0">
    <w:name w:val="List Paragraph"/>
    <w:aliases w:val="Заголовок 1.1,Normal bullet 2,Heading Bullet,Bullets,Буллет,Нумерованый список,ПАРАГРАФ,Нумерованный спиков,Слабое выделение1,Таблица. Рисунок,En tête 1,Γράφημα,Citation List,본문(내용),List Paragraph (numbered (a)),Yellow Bullet,List normal,본문"/>
    <w:basedOn w:val="a"/>
    <w:link w:val="a5"/>
    <w:uiPriority w:val="34"/>
    <w:qFormat/>
    <w:rsid w:val="000659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0479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0479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479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204792"/>
    <w:rPr>
      <w:sz w:val="22"/>
      <w:szCs w:val="22"/>
      <w:lang w:eastAsia="en-US"/>
    </w:rPr>
  </w:style>
  <w:style w:type="paragraph" w:styleId="aa">
    <w:name w:val="No Spacing"/>
    <w:uiPriority w:val="1"/>
    <w:qFormat/>
    <w:rsid w:val="00363D13"/>
    <w:rPr>
      <w:sz w:val="22"/>
      <w:szCs w:val="22"/>
      <w:lang w:val="ru-RU" w:eastAsia="en-US"/>
    </w:rPr>
  </w:style>
  <w:style w:type="paragraph" w:customStyle="1" w:styleId="Default">
    <w:name w:val="Default"/>
    <w:rsid w:val="00363D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973E55"/>
    <w:rPr>
      <w:rFonts w:ascii="Tahoma" w:hAnsi="Tahoma" w:cs="Tahoma"/>
      <w:sz w:val="16"/>
      <w:szCs w:val="16"/>
      <w:lang w:eastAsia="en-US"/>
    </w:rPr>
  </w:style>
  <w:style w:type="character" w:styleId="ad">
    <w:name w:val="annotation reference"/>
    <w:uiPriority w:val="99"/>
    <w:semiHidden/>
    <w:unhideWhenUsed/>
    <w:rsid w:val="002C26C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26C3"/>
    <w:rPr>
      <w:sz w:val="20"/>
      <w:szCs w:val="20"/>
    </w:rPr>
  </w:style>
  <w:style w:type="character" w:customStyle="1" w:styleId="af">
    <w:name w:val="Текст примітки Знак"/>
    <w:link w:val="ae"/>
    <w:uiPriority w:val="99"/>
    <w:semiHidden/>
    <w:rsid w:val="002C26C3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26C3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2C26C3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DC5BED"/>
    <w:rPr>
      <w:rFonts w:ascii="Times New Roman" w:hAnsi="Times New Roman"/>
      <w:sz w:val="24"/>
      <w:szCs w:val="24"/>
      <w:lang w:eastAsia="en-US"/>
    </w:rPr>
  </w:style>
  <w:style w:type="paragraph" w:styleId="af2">
    <w:name w:val="Revision"/>
    <w:hidden/>
    <w:uiPriority w:val="99"/>
    <w:semiHidden/>
    <w:rsid w:val="00BF5E3B"/>
    <w:rPr>
      <w:sz w:val="22"/>
      <w:szCs w:val="22"/>
      <w:lang w:eastAsia="en-US"/>
    </w:rPr>
  </w:style>
  <w:style w:type="character" w:styleId="af3">
    <w:name w:val="Strong"/>
    <w:uiPriority w:val="22"/>
    <w:qFormat/>
    <w:rsid w:val="006C655A"/>
    <w:rPr>
      <w:b/>
      <w:bCs/>
    </w:rPr>
  </w:style>
  <w:style w:type="character" w:styleId="af4">
    <w:name w:val="Hyperlink"/>
    <w:uiPriority w:val="99"/>
    <w:unhideWhenUsed/>
    <w:rsid w:val="0088425F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006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rsid w:val="0064215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37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7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49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07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gasbank.com/about/corporate_management/supervisory_council/ryzyk_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2F8A-722B-46FC-B249-9D4D89A5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8721</Words>
  <Characters>4971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UGB</Company>
  <LinksUpToDate>false</LinksUpToDate>
  <CharactersWithSpaces>13665</CharactersWithSpaces>
  <SharedDoc>false</SharedDoc>
  <HLinks>
    <vt:vector size="6" baseType="variant">
      <vt:variant>
        <vt:i4>3407961</vt:i4>
      </vt:variant>
      <vt:variant>
        <vt:i4>0</vt:i4>
      </vt:variant>
      <vt:variant>
        <vt:i4>0</vt:i4>
      </vt:variant>
      <vt:variant>
        <vt:i4>5</vt:i4>
      </vt:variant>
      <vt:variant>
        <vt:lpwstr>https://www.ukrgasbank.com/about/corporate_management/supervisory_council/ryzyk_com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Олена Вікторівна</dc:creator>
  <cp:keywords/>
  <cp:lastModifiedBy>Павленко Наталія Вікторівна</cp:lastModifiedBy>
  <cp:revision>23</cp:revision>
  <cp:lastPrinted>2026-01-20T11:42:00Z</cp:lastPrinted>
  <dcterms:created xsi:type="dcterms:W3CDTF">2025-12-25T20:44:00Z</dcterms:created>
  <dcterms:modified xsi:type="dcterms:W3CDTF">2026-01-20T12:20:00Z</dcterms:modified>
</cp:coreProperties>
</file>